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3C47A" w14:textId="7C0F57F4" w:rsidR="00A5488D" w:rsidRPr="006B39A3" w:rsidRDefault="007A7D4E" w:rsidP="006B39A3">
      <w:pPr>
        <w:pStyle w:val="Alt0"/>
      </w:pPr>
      <w:r w:rsidRPr="006B39A3">
        <w:t>E</w:t>
      </w:r>
      <w:r w:rsidR="004E681D" w:rsidRPr="006B39A3">
        <w:t>generklæring</w:t>
      </w:r>
      <w:r w:rsidR="00A5488D" w:rsidRPr="006B39A3">
        <w:t xml:space="preserve"> </w:t>
      </w:r>
      <w:r w:rsidRPr="006B39A3">
        <w:t xml:space="preserve">– </w:t>
      </w:r>
      <w:r w:rsidR="007C1D59">
        <w:t>Sørlandets</w:t>
      </w:r>
      <w:r w:rsidRPr="006B39A3">
        <w:t xml:space="preserve"> </w:t>
      </w:r>
      <w:r w:rsidR="007C1D59">
        <w:t>K</w:t>
      </w:r>
      <w:r w:rsidRPr="006B39A3">
        <w:t>ompetansefond</w:t>
      </w:r>
    </w:p>
    <w:p w14:paraId="424555C9" w14:textId="77777777" w:rsidR="00822603" w:rsidRPr="005560DB" w:rsidRDefault="00822603" w:rsidP="00822603">
      <w:pPr>
        <w:spacing w:after="0"/>
        <w:jc w:val="both"/>
        <w:rPr>
          <w:rFonts w:ascii="Trebuchet MS" w:hAnsi="Trebuchet MS" w:cs="Arial"/>
          <w:sz w:val="22"/>
          <w:shd w:val="clear" w:color="auto" w:fill="FFFFFF"/>
        </w:rPr>
      </w:pPr>
    </w:p>
    <w:p w14:paraId="78F8D536" w14:textId="77777777" w:rsidR="007A7D4E" w:rsidRPr="005560DB" w:rsidRDefault="007A7D4E" w:rsidP="006B39A3">
      <w:pPr>
        <w:spacing w:after="0"/>
        <w:rPr>
          <w:rFonts w:ascii="Trebuchet MS" w:hAnsi="Trebuchet MS" w:cs="Arial"/>
          <w:sz w:val="22"/>
          <w:shd w:val="clear" w:color="auto" w:fill="FFFFFF"/>
        </w:rPr>
      </w:pPr>
      <w:r w:rsidRPr="005560DB">
        <w:rPr>
          <w:rFonts w:ascii="Trebuchet MS" w:hAnsi="Trebuchet MS" w:cs="Arial"/>
          <w:sz w:val="22"/>
          <w:shd w:val="clear" w:color="auto" w:fill="FFFFFF"/>
        </w:rPr>
        <w:t xml:space="preserve">EØS-avtalens regler om statsstøtte innebærer at offentlig støtte som hovedregel er forbudt. Formålet med regelverket er å sikre like konkurransevilkår og like regler </w:t>
      </w:r>
      <w:r w:rsidR="009413B4" w:rsidRPr="005560DB">
        <w:rPr>
          <w:rFonts w:ascii="Trebuchet MS" w:hAnsi="Trebuchet MS" w:cs="Arial"/>
          <w:sz w:val="22"/>
          <w:shd w:val="clear" w:color="auto" w:fill="FFFFFF"/>
        </w:rPr>
        <w:t>for</w:t>
      </w:r>
      <w:r w:rsidRPr="005560DB">
        <w:rPr>
          <w:rFonts w:ascii="Trebuchet MS" w:hAnsi="Trebuchet MS" w:cs="Arial"/>
          <w:sz w:val="22"/>
          <w:shd w:val="clear" w:color="auto" w:fill="FFFFFF"/>
        </w:rPr>
        <w:t xml:space="preserve"> offentlig støtte i EØS-området. At enkelte virksomheter mottar en økonomisk </w:t>
      </w:r>
      <w:proofErr w:type="gramStart"/>
      <w:r w:rsidRPr="005560DB">
        <w:rPr>
          <w:rFonts w:ascii="Trebuchet MS" w:hAnsi="Trebuchet MS" w:cs="Arial"/>
          <w:sz w:val="22"/>
          <w:shd w:val="clear" w:color="auto" w:fill="FFFFFF"/>
        </w:rPr>
        <w:t>fordel</w:t>
      </w:r>
      <w:proofErr w:type="gramEnd"/>
      <w:r w:rsidRPr="005560DB">
        <w:rPr>
          <w:rFonts w:ascii="Trebuchet MS" w:hAnsi="Trebuchet MS" w:cs="Arial"/>
          <w:sz w:val="22"/>
          <w:shd w:val="clear" w:color="auto" w:fill="FFFFFF"/>
        </w:rPr>
        <w:t xml:space="preserve"> kan vri konkurransen og påvirke samhandelen. Forbudet bidrar dermed til å sikre likebehandling av virksomhetene</w:t>
      </w:r>
      <w:r w:rsidR="009413B4" w:rsidRPr="005560DB">
        <w:rPr>
          <w:rFonts w:ascii="Trebuchet MS" w:hAnsi="Trebuchet MS" w:cs="Arial"/>
          <w:sz w:val="22"/>
          <w:shd w:val="clear" w:color="auto" w:fill="FFFFFF"/>
        </w:rPr>
        <w:t>.</w:t>
      </w:r>
    </w:p>
    <w:p w14:paraId="7D18669C" w14:textId="77777777" w:rsidR="00767583" w:rsidRPr="005560DB" w:rsidRDefault="00767583" w:rsidP="006B39A3">
      <w:pPr>
        <w:spacing w:after="0"/>
        <w:rPr>
          <w:rFonts w:ascii="Trebuchet MS" w:hAnsi="Trebuchet MS" w:cs="Arial"/>
          <w:sz w:val="22"/>
          <w:shd w:val="clear" w:color="auto" w:fill="FFFFFF"/>
        </w:rPr>
      </w:pPr>
    </w:p>
    <w:p w14:paraId="2C256163" w14:textId="77777777" w:rsidR="007A7D4E" w:rsidRPr="005560DB" w:rsidRDefault="007A7D4E" w:rsidP="006B39A3">
      <w:pPr>
        <w:spacing w:after="0"/>
        <w:rPr>
          <w:rFonts w:ascii="Trebuchet MS" w:hAnsi="Trebuchet MS" w:cs="Arial"/>
          <w:sz w:val="22"/>
          <w:shd w:val="clear" w:color="auto" w:fill="FFFFFF"/>
        </w:rPr>
      </w:pPr>
      <w:r w:rsidRPr="005560DB">
        <w:rPr>
          <w:rFonts w:ascii="Trebuchet MS" w:hAnsi="Trebuchet MS" w:cs="Arial"/>
          <w:sz w:val="22"/>
          <w:shd w:val="clear" w:color="auto" w:fill="FFFFFF"/>
        </w:rPr>
        <w:t>Dersom det blir tildelt støtte som ikke er forenlig med EØS-avtalen vil støtten anses som ulovlig.</w:t>
      </w:r>
      <w:r w:rsidR="00767583" w:rsidRPr="005560DB">
        <w:rPr>
          <w:rFonts w:ascii="Trebuchet MS" w:hAnsi="Trebuchet MS" w:cs="Arial"/>
          <w:sz w:val="22"/>
          <w:shd w:val="clear" w:color="auto" w:fill="FFFFFF"/>
        </w:rPr>
        <w:t xml:space="preserve"> </w:t>
      </w:r>
      <w:r w:rsidRPr="005560DB">
        <w:rPr>
          <w:rFonts w:ascii="Trebuchet MS" w:hAnsi="Trebuchet MS" w:cs="Arial"/>
          <w:sz w:val="22"/>
          <w:shd w:val="clear" w:color="auto" w:fill="FFFFFF"/>
        </w:rPr>
        <w:t>ESA kan pålegge staten å kreve ulovlig støtte tilbakebetalt. Hensikten er å gjenopprette situasjonen på markedet slik den ville vært uten den ulovlige støtten.</w:t>
      </w:r>
    </w:p>
    <w:p w14:paraId="3115F067" w14:textId="77777777" w:rsidR="009413B4" w:rsidRPr="005560DB" w:rsidRDefault="009413B4" w:rsidP="006B39A3">
      <w:pPr>
        <w:spacing w:after="0"/>
        <w:rPr>
          <w:rFonts w:ascii="Trebuchet MS" w:hAnsi="Trebuchet MS"/>
          <w:sz w:val="22"/>
        </w:rPr>
      </w:pPr>
    </w:p>
    <w:p w14:paraId="31B4664D" w14:textId="55C32365" w:rsidR="00A5488D" w:rsidRPr="005560DB" w:rsidRDefault="00A5488D" w:rsidP="006B39A3">
      <w:pPr>
        <w:spacing w:after="0"/>
        <w:rPr>
          <w:rFonts w:ascii="Trebuchet MS" w:hAnsi="Trebuchet MS"/>
          <w:sz w:val="22"/>
        </w:rPr>
      </w:pPr>
      <w:r w:rsidRPr="005560DB">
        <w:rPr>
          <w:rFonts w:ascii="Trebuchet MS" w:hAnsi="Trebuchet MS"/>
          <w:sz w:val="22"/>
        </w:rPr>
        <w:t xml:space="preserve">For å </w:t>
      </w:r>
      <w:r w:rsidR="00AB16E7" w:rsidRPr="005560DB">
        <w:rPr>
          <w:rFonts w:ascii="Trebuchet MS" w:hAnsi="Trebuchet MS"/>
          <w:sz w:val="22"/>
        </w:rPr>
        <w:t xml:space="preserve">kunne </w:t>
      </w:r>
      <w:r w:rsidRPr="005560DB">
        <w:rPr>
          <w:rFonts w:ascii="Trebuchet MS" w:hAnsi="Trebuchet MS"/>
          <w:sz w:val="22"/>
        </w:rPr>
        <w:t xml:space="preserve">vurdere om </w:t>
      </w:r>
      <w:r w:rsidR="004F41A2" w:rsidRPr="005560DB">
        <w:rPr>
          <w:rFonts w:ascii="Trebuchet MS" w:hAnsi="Trebuchet MS"/>
          <w:sz w:val="22"/>
        </w:rPr>
        <w:t xml:space="preserve">et foretak </w:t>
      </w:r>
      <w:r w:rsidRPr="005560DB">
        <w:rPr>
          <w:rFonts w:ascii="Trebuchet MS" w:hAnsi="Trebuchet MS"/>
          <w:sz w:val="22"/>
        </w:rPr>
        <w:t xml:space="preserve">kan motta støtte under det alminnelige gruppeunntaket for statsstøtte, er </w:t>
      </w:r>
      <w:r w:rsidR="007C1D59">
        <w:rPr>
          <w:rFonts w:ascii="Trebuchet MS" w:hAnsi="Trebuchet MS"/>
          <w:sz w:val="22"/>
        </w:rPr>
        <w:t xml:space="preserve">Sørlandets Kompetansefond </w:t>
      </w:r>
      <w:r w:rsidRPr="005560DB">
        <w:rPr>
          <w:rFonts w:ascii="Trebuchet MS" w:hAnsi="Trebuchet MS"/>
          <w:sz w:val="22"/>
        </w:rPr>
        <w:t xml:space="preserve">avhengig av at </w:t>
      </w:r>
      <w:r w:rsidR="004F41A2" w:rsidRPr="005560DB">
        <w:rPr>
          <w:rFonts w:ascii="Trebuchet MS" w:hAnsi="Trebuchet MS"/>
          <w:sz w:val="22"/>
        </w:rPr>
        <w:t xml:space="preserve">foretaket </w:t>
      </w:r>
      <w:r w:rsidRPr="005560DB">
        <w:rPr>
          <w:rFonts w:ascii="Trebuchet MS" w:hAnsi="Trebuchet MS"/>
          <w:sz w:val="22"/>
        </w:rPr>
        <w:t xml:space="preserve">gir relevant informasjon </w:t>
      </w:r>
      <w:r w:rsidR="00AB16E7" w:rsidRPr="005560DB">
        <w:rPr>
          <w:rFonts w:ascii="Trebuchet MS" w:hAnsi="Trebuchet MS"/>
          <w:sz w:val="22"/>
        </w:rPr>
        <w:t xml:space="preserve">bl.a. om </w:t>
      </w:r>
      <w:r w:rsidR="00767583" w:rsidRPr="005560DB">
        <w:rPr>
          <w:rFonts w:ascii="Trebuchet MS" w:hAnsi="Trebuchet MS"/>
          <w:sz w:val="22"/>
        </w:rPr>
        <w:t>enkelte</w:t>
      </w:r>
      <w:r w:rsidR="00AB16E7" w:rsidRPr="005560DB">
        <w:rPr>
          <w:rFonts w:ascii="Trebuchet MS" w:hAnsi="Trebuchet MS"/>
          <w:sz w:val="22"/>
        </w:rPr>
        <w:t xml:space="preserve"> økonomi</w:t>
      </w:r>
      <w:r w:rsidR="00767583" w:rsidRPr="005560DB">
        <w:rPr>
          <w:rFonts w:ascii="Trebuchet MS" w:hAnsi="Trebuchet MS"/>
          <w:sz w:val="22"/>
        </w:rPr>
        <w:t>ske forhold</w:t>
      </w:r>
      <w:r w:rsidR="00AB16E7" w:rsidRPr="005560DB">
        <w:rPr>
          <w:rFonts w:ascii="Trebuchet MS" w:hAnsi="Trebuchet MS"/>
          <w:sz w:val="22"/>
        </w:rPr>
        <w:t xml:space="preserve">. </w:t>
      </w:r>
      <w:r w:rsidR="00767583" w:rsidRPr="005560DB">
        <w:rPr>
          <w:rFonts w:ascii="Trebuchet MS" w:hAnsi="Trebuchet MS"/>
          <w:sz w:val="22"/>
        </w:rPr>
        <w:t>Vi ber derfor</w:t>
      </w:r>
      <w:r w:rsidR="00907514" w:rsidRPr="005560DB">
        <w:rPr>
          <w:rFonts w:ascii="Trebuchet MS" w:hAnsi="Trebuchet MS"/>
          <w:sz w:val="22"/>
        </w:rPr>
        <w:t xml:space="preserve"> om at nedenstående erklæring fylles ut og returneres</w:t>
      </w:r>
      <w:r w:rsidR="00EB34B4">
        <w:rPr>
          <w:rFonts w:ascii="Trebuchet MS" w:hAnsi="Trebuchet MS"/>
          <w:sz w:val="22"/>
        </w:rPr>
        <w:t>.</w:t>
      </w:r>
    </w:p>
    <w:p w14:paraId="70C56B5D" w14:textId="77777777" w:rsidR="005560DB" w:rsidRDefault="005560DB" w:rsidP="006B39A3">
      <w:pPr>
        <w:spacing w:after="0"/>
        <w:rPr>
          <w:rFonts w:ascii="Trebuchet MS" w:hAnsi="Trebuchet MS"/>
          <w:sz w:val="22"/>
        </w:rPr>
      </w:pPr>
    </w:p>
    <w:p w14:paraId="60B4D55B" w14:textId="77777777" w:rsidR="00A5488D" w:rsidRPr="005560DB" w:rsidRDefault="00BE3189" w:rsidP="006B39A3">
      <w:pPr>
        <w:spacing w:after="0"/>
        <w:rPr>
          <w:rFonts w:ascii="Trebuchet MS" w:hAnsi="Trebuchet MS"/>
          <w:sz w:val="22"/>
        </w:rPr>
      </w:pPr>
      <w:r w:rsidRPr="005560DB">
        <w:rPr>
          <w:rFonts w:ascii="Trebuchet MS" w:hAnsi="Trebuchet MS"/>
          <w:sz w:val="22"/>
        </w:rPr>
        <w:t>Det relevante regelverket i denne sammenheng er EUs gruppeunntaksforordning.</w:t>
      </w:r>
      <w:r w:rsidR="00A5488D" w:rsidRPr="005560DB">
        <w:rPr>
          <w:rFonts w:ascii="Trebuchet MS" w:hAnsi="Trebuchet MS"/>
          <w:sz w:val="22"/>
        </w:rPr>
        <w:t xml:space="preserve"> </w:t>
      </w:r>
      <w:r w:rsidR="00D94E43" w:rsidRPr="005560DB">
        <w:rPr>
          <w:rFonts w:ascii="Trebuchet MS" w:hAnsi="Trebuchet MS"/>
          <w:sz w:val="22"/>
        </w:rPr>
        <w:t>O</w:t>
      </w:r>
      <w:r w:rsidR="00062BDF" w:rsidRPr="005560DB">
        <w:rPr>
          <w:rFonts w:ascii="Trebuchet MS" w:hAnsi="Trebuchet MS"/>
          <w:sz w:val="22"/>
        </w:rPr>
        <w:t xml:space="preserve">ffisielle </w:t>
      </w:r>
      <w:r w:rsidR="00D94E43" w:rsidRPr="005560DB">
        <w:rPr>
          <w:rFonts w:ascii="Trebuchet MS" w:hAnsi="Trebuchet MS"/>
          <w:sz w:val="22"/>
        </w:rPr>
        <w:t xml:space="preserve">versjoner av gruppeunntakene på </w:t>
      </w:r>
      <w:r w:rsidR="00062BDF" w:rsidRPr="005560DB">
        <w:rPr>
          <w:rFonts w:ascii="Trebuchet MS" w:hAnsi="Trebuchet MS"/>
          <w:sz w:val="22"/>
        </w:rPr>
        <w:t xml:space="preserve">engelsk, </w:t>
      </w:r>
      <w:r w:rsidR="00A5488D" w:rsidRPr="005560DB">
        <w:rPr>
          <w:rFonts w:ascii="Trebuchet MS" w:hAnsi="Trebuchet MS"/>
          <w:sz w:val="22"/>
        </w:rPr>
        <w:t xml:space="preserve">dansk </w:t>
      </w:r>
      <w:r w:rsidR="00062BDF" w:rsidRPr="005560DB">
        <w:rPr>
          <w:rFonts w:ascii="Trebuchet MS" w:hAnsi="Trebuchet MS"/>
          <w:sz w:val="22"/>
        </w:rPr>
        <w:t>og</w:t>
      </w:r>
      <w:r w:rsidR="00A5488D" w:rsidRPr="005560DB">
        <w:rPr>
          <w:rFonts w:ascii="Trebuchet MS" w:hAnsi="Trebuchet MS"/>
          <w:sz w:val="22"/>
        </w:rPr>
        <w:t xml:space="preserve"> svensk, finne</w:t>
      </w:r>
      <w:r w:rsidR="00062BDF" w:rsidRPr="005560DB">
        <w:rPr>
          <w:rFonts w:ascii="Trebuchet MS" w:hAnsi="Trebuchet MS"/>
          <w:sz w:val="22"/>
        </w:rPr>
        <w:t>s</w:t>
      </w:r>
      <w:r w:rsidR="00A5488D" w:rsidRPr="005560DB">
        <w:rPr>
          <w:rFonts w:ascii="Trebuchet MS" w:hAnsi="Trebuchet MS"/>
          <w:sz w:val="22"/>
        </w:rPr>
        <w:t xml:space="preserve"> her:</w:t>
      </w:r>
    </w:p>
    <w:p w14:paraId="1469E698" w14:textId="77777777" w:rsidR="00822603" w:rsidRPr="005560DB" w:rsidRDefault="00822603" w:rsidP="006B39A3">
      <w:pPr>
        <w:spacing w:after="0"/>
        <w:rPr>
          <w:rFonts w:ascii="Trebuchet MS" w:hAnsi="Trebuchet MS"/>
          <w:sz w:val="22"/>
        </w:rPr>
      </w:pPr>
    </w:p>
    <w:p w14:paraId="3DC0033A" w14:textId="77777777" w:rsidR="00767583" w:rsidRPr="005560DB" w:rsidRDefault="00447A04" w:rsidP="006B39A3">
      <w:pPr>
        <w:spacing w:after="0"/>
        <w:rPr>
          <w:rFonts w:ascii="Trebuchet MS" w:hAnsi="Trebuchet MS"/>
          <w:sz w:val="22"/>
          <w:u w:val="single"/>
        </w:rPr>
      </w:pPr>
      <w:hyperlink r:id="rId8" w:history="1">
        <w:r w:rsidR="00822603" w:rsidRPr="005560DB">
          <w:rPr>
            <w:rFonts w:ascii="Trebuchet MS" w:hAnsi="Trebuchet MS"/>
            <w:sz w:val="22"/>
            <w:u w:val="single"/>
          </w:rPr>
          <w:t>http://eur-lex.europa.eu/legal-content/EN/TXT/?qid=1404295693570&amp;uri=CELEX:32014R0651</w:t>
        </w:r>
      </w:hyperlink>
      <w:r w:rsidR="00313882" w:rsidRPr="005560DB">
        <w:rPr>
          <w:rFonts w:ascii="Trebuchet MS" w:hAnsi="Trebuchet MS"/>
          <w:sz w:val="22"/>
          <w:u w:val="single"/>
        </w:rPr>
        <w:br/>
      </w:r>
    </w:p>
    <w:p w14:paraId="0A488FC8" w14:textId="77777777" w:rsidR="00767583" w:rsidRPr="005560DB" w:rsidRDefault="00767583" w:rsidP="006B39A3">
      <w:pPr>
        <w:spacing w:after="0"/>
        <w:rPr>
          <w:rFonts w:ascii="Trebuchet MS" w:hAnsi="Trebuchet MS"/>
          <w:sz w:val="22"/>
        </w:rPr>
      </w:pPr>
      <w:r w:rsidRPr="005560DB">
        <w:rPr>
          <w:rFonts w:ascii="Trebuchet MS" w:hAnsi="Trebuchet MS"/>
          <w:sz w:val="22"/>
        </w:rPr>
        <w:t>Den uoffisielle norske oversettelsen av forordningen kan lastes ned her:</w:t>
      </w:r>
    </w:p>
    <w:p w14:paraId="1CC0989E" w14:textId="77777777" w:rsidR="00822603" w:rsidRPr="005560DB" w:rsidRDefault="00822603" w:rsidP="006B39A3">
      <w:pPr>
        <w:spacing w:after="0"/>
        <w:rPr>
          <w:rFonts w:ascii="Trebuchet MS" w:hAnsi="Trebuchet MS"/>
          <w:sz w:val="22"/>
        </w:rPr>
      </w:pPr>
    </w:p>
    <w:p w14:paraId="23AB9847" w14:textId="77777777" w:rsidR="00767583" w:rsidRPr="005560DB" w:rsidRDefault="00447A04" w:rsidP="006B39A3">
      <w:pPr>
        <w:spacing w:after="0"/>
        <w:rPr>
          <w:rFonts w:ascii="Trebuchet MS" w:hAnsi="Trebuchet MS"/>
          <w:sz w:val="22"/>
          <w:u w:val="single"/>
        </w:rPr>
      </w:pPr>
      <w:hyperlink r:id="rId9" w:history="1">
        <w:r w:rsidR="00767583" w:rsidRPr="005560DB">
          <w:rPr>
            <w:rFonts w:ascii="Trebuchet MS" w:hAnsi="Trebuchet MS"/>
            <w:sz w:val="22"/>
            <w:u w:val="single"/>
          </w:rPr>
          <w:t>https://www.regjeringen.no/no/tema/naringsliv/konkurransepolitikk/regler-om-offentlig-stotte-listeside/offentlig-stotte-gruppeunntak/id430132/</w:t>
        </w:r>
      </w:hyperlink>
    </w:p>
    <w:p w14:paraId="08FD9C16" w14:textId="77777777" w:rsidR="00822603" w:rsidRPr="005560DB" w:rsidRDefault="00822603" w:rsidP="006B39A3">
      <w:pPr>
        <w:spacing w:after="0"/>
        <w:rPr>
          <w:rFonts w:ascii="Trebuchet MS" w:hAnsi="Trebuchet MS"/>
          <w:sz w:val="22"/>
        </w:rPr>
      </w:pPr>
    </w:p>
    <w:p w14:paraId="0459A5A1" w14:textId="31EA8075" w:rsidR="00767583" w:rsidRPr="005560DB" w:rsidRDefault="00281384" w:rsidP="006B39A3">
      <w:pPr>
        <w:spacing w:after="0"/>
        <w:rPr>
          <w:rStyle w:val="Hyperkobling"/>
          <w:rFonts w:ascii="Trebuchet MS" w:hAnsi="Trebuchet MS"/>
          <w:color w:val="auto"/>
          <w:sz w:val="22"/>
          <w:u w:val="none"/>
        </w:rPr>
      </w:pPr>
      <w:r w:rsidRPr="005560DB">
        <w:rPr>
          <w:rStyle w:val="Hyperkobling"/>
          <w:rFonts w:ascii="Trebuchet MS" w:hAnsi="Trebuchet MS"/>
          <w:color w:val="auto"/>
          <w:sz w:val="22"/>
          <w:u w:val="none"/>
        </w:rPr>
        <w:t>Det skal lever</w:t>
      </w:r>
      <w:r w:rsidR="00CF105F" w:rsidRPr="005560DB">
        <w:rPr>
          <w:rStyle w:val="Hyperkobling"/>
          <w:rFonts w:ascii="Trebuchet MS" w:hAnsi="Trebuchet MS"/>
          <w:color w:val="auto"/>
          <w:sz w:val="22"/>
          <w:u w:val="none"/>
        </w:rPr>
        <w:t>e</w:t>
      </w:r>
      <w:r w:rsidRPr="005560DB">
        <w:rPr>
          <w:rStyle w:val="Hyperkobling"/>
          <w:rFonts w:ascii="Trebuchet MS" w:hAnsi="Trebuchet MS"/>
          <w:color w:val="auto"/>
          <w:sz w:val="22"/>
          <w:u w:val="none"/>
        </w:rPr>
        <w:t xml:space="preserve">s erklæring </w:t>
      </w:r>
      <w:proofErr w:type="gramStart"/>
      <w:r w:rsidRPr="005560DB">
        <w:rPr>
          <w:rStyle w:val="Hyperkobling"/>
          <w:rFonts w:ascii="Trebuchet MS" w:hAnsi="Trebuchet MS"/>
          <w:color w:val="auto"/>
          <w:sz w:val="22"/>
          <w:u w:val="none"/>
        </w:rPr>
        <w:t>vedrørende</w:t>
      </w:r>
      <w:proofErr w:type="gramEnd"/>
      <w:r w:rsidRPr="005560DB">
        <w:rPr>
          <w:rStyle w:val="Hyperkobling"/>
          <w:rFonts w:ascii="Trebuchet MS" w:hAnsi="Trebuchet MS"/>
          <w:color w:val="auto"/>
          <w:sz w:val="22"/>
          <w:u w:val="none"/>
        </w:rPr>
        <w:t xml:space="preserve"> </w:t>
      </w:r>
      <w:r w:rsidR="00822603" w:rsidRPr="005560DB">
        <w:rPr>
          <w:rStyle w:val="Hyperkobling"/>
          <w:rFonts w:ascii="Trebuchet MS" w:hAnsi="Trebuchet MS"/>
          <w:color w:val="auto"/>
          <w:sz w:val="22"/>
          <w:u w:val="none"/>
        </w:rPr>
        <w:t>to</w:t>
      </w:r>
      <w:r w:rsidRPr="005560DB">
        <w:rPr>
          <w:rStyle w:val="Hyperkobling"/>
          <w:rFonts w:ascii="Trebuchet MS" w:hAnsi="Trebuchet MS"/>
          <w:color w:val="auto"/>
          <w:sz w:val="22"/>
          <w:u w:val="none"/>
        </w:rPr>
        <w:t xml:space="preserve"> forhold, samlet i én egenerklæring på s. </w:t>
      </w:r>
      <w:r w:rsidR="00EB34B4">
        <w:rPr>
          <w:rStyle w:val="Hyperkobling"/>
          <w:rFonts w:ascii="Trebuchet MS" w:hAnsi="Trebuchet MS"/>
          <w:color w:val="auto"/>
          <w:sz w:val="22"/>
          <w:u w:val="none"/>
        </w:rPr>
        <w:t>3</w:t>
      </w:r>
      <w:r w:rsidRPr="005560DB">
        <w:rPr>
          <w:rStyle w:val="Hyperkobling"/>
          <w:rFonts w:ascii="Trebuchet MS" w:hAnsi="Trebuchet MS"/>
          <w:color w:val="auto"/>
          <w:sz w:val="22"/>
          <w:u w:val="none"/>
        </w:rPr>
        <w:t xml:space="preserve"> i dette dokumentet. </w:t>
      </w:r>
      <w:r w:rsidR="0037247A" w:rsidRPr="005560DB">
        <w:rPr>
          <w:rStyle w:val="Hyperkobling"/>
          <w:rFonts w:ascii="Trebuchet MS" w:hAnsi="Trebuchet MS"/>
          <w:color w:val="auto"/>
          <w:sz w:val="22"/>
          <w:u w:val="none"/>
        </w:rPr>
        <w:t>Det er kun selve erk</w:t>
      </w:r>
      <w:r w:rsidR="002C7D7E" w:rsidRPr="005560DB">
        <w:rPr>
          <w:rStyle w:val="Hyperkobling"/>
          <w:rFonts w:ascii="Trebuchet MS" w:hAnsi="Trebuchet MS"/>
          <w:color w:val="auto"/>
          <w:sz w:val="22"/>
          <w:u w:val="none"/>
        </w:rPr>
        <w:t>læ</w:t>
      </w:r>
      <w:r w:rsidR="0037247A" w:rsidRPr="005560DB">
        <w:rPr>
          <w:rStyle w:val="Hyperkobling"/>
          <w:rFonts w:ascii="Trebuchet MS" w:hAnsi="Trebuchet MS"/>
          <w:color w:val="auto"/>
          <w:sz w:val="22"/>
          <w:u w:val="none"/>
        </w:rPr>
        <w:t>ringe</w:t>
      </w:r>
      <w:r w:rsidRPr="005560DB">
        <w:rPr>
          <w:rStyle w:val="Hyperkobling"/>
          <w:rFonts w:ascii="Trebuchet MS" w:hAnsi="Trebuchet MS"/>
          <w:color w:val="auto"/>
          <w:sz w:val="22"/>
          <w:u w:val="none"/>
        </w:rPr>
        <w:t>n</w:t>
      </w:r>
      <w:r w:rsidR="0037247A" w:rsidRPr="005560DB">
        <w:rPr>
          <w:rStyle w:val="Hyperkobling"/>
          <w:rFonts w:ascii="Trebuchet MS" w:hAnsi="Trebuchet MS"/>
          <w:color w:val="auto"/>
          <w:sz w:val="22"/>
          <w:u w:val="none"/>
        </w:rPr>
        <w:t xml:space="preserve"> </w:t>
      </w:r>
      <w:r w:rsidR="00767583" w:rsidRPr="005560DB">
        <w:rPr>
          <w:rStyle w:val="Hyperkobling"/>
          <w:rFonts w:ascii="Trebuchet MS" w:hAnsi="Trebuchet MS"/>
          <w:color w:val="auto"/>
          <w:sz w:val="22"/>
          <w:u w:val="none"/>
        </w:rPr>
        <w:t>som skal fylles ut og returneres til kompetansefondet</w:t>
      </w:r>
      <w:r w:rsidR="00E20302" w:rsidRPr="005560DB">
        <w:rPr>
          <w:rStyle w:val="Hyperkobling"/>
          <w:rFonts w:ascii="Trebuchet MS" w:hAnsi="Trebuchet MS"/>
          <w:color w:val="auto"/>
          <w:sz w:val="22"/>
          <w:u w:val="none"/>
        </w:rPr>
        <w:t xml:space="preserve">. </w:t>
      </w:r>
      <w:r w:rsidR="00767583" w:rsidRPr="005560DB">
        <w:rPr>
          <w:rStyle w:val="Hyperkobling"/>
          <w:rFonts w:ascii="Trebuchet MS" w:hAnsi="Trebuchet MS"/>
          <w:color w:val="auto"/>
          <w:sz w:val="22"/>
          <w:u w:val="none"/>
        </w:rPr>
        <w:t xml:space="preserve">Erklæringen kan sendes i </w:t>
      </w:r>
      <w:proofErr w:type="spellStart"/>
      <w:r w:rsidR="00767583" w:rsidRPr="005560DB">
        <w:rPr>
          <w:rStyle w:val="Hyperkobling"/>
          <w:rFonts w:ascii="Trebuchet MS" w:hAnsi="Trebuchet MS"/>
          <w:color w:val="auto"/>
          <w:sz w:val="22"/>
          <w:u w:val="none"/>
        </w:rPr>
        <w:t>pdf</w:t>
      </w:r>
      <w:proofErr w:type="spellEnd"/>
      <w:r w:rsidR="00767583" w:rsidRPr="005560DB">
        <w:rPr>
          <w:rStyle w:val="Hyperkobling"/>
          <w:rFonts w:ascii="Trebuchet MS" w:hAnsi="Trebuchet MS"/>
          <w:color w:val="auto"/>
          <w:sz w:val="22"/>
          <w:u w:val="none"/>
        </w:rPr>
        <w:t xml:space="preserve">-format til </w:t>
      </w:r>
      <w:r w:rsidR="007C1D59">
        <w:t>post@kompetansefond</w:t>
      </w:r>
      <w:r w:rsidR="00B23EB6">
        <w:t>.no</w:t>
      </w:r>
      <w:r w:rsidR="007C1D59">
        <w:t xml:space="preserve"> </w:t>
      </w:r>
      <w:r w:rsidR="00767583" w:rsidRPr="005560DB">
        <w:rPr>
          <w:rStyle w:val="Hyperkobling"/>
          <w:rFonts w:ascii="Trebuchet MS" w:hAnsi="Trebuchet MS"/>
          <w:color w:val="auto"/>
          <w:sz w:val="22"/>
          <w:u w:val="none"/>
        </w:rPr>
        <w:t>ell</w:t>
      </w:r>
      <w:r w:rsidR="007C1D59">
        <w:rPr>
          <w:rStyle w:val="Hyperkobling"/>
          <w:rFonts w:ascii="Trebuchet MS" w:hAnsi="Trebuchet MS"/>
          <w:color w:val="auto"/>
          <w:sz w:val="22"/>
          <w:u w:val="none"/>
        </w:rPr>
        <w:t>er cecilie@kompetansefond</w:t>
      </w:r>
      <w:r w:rsidR="00B23EB6">
        <w:rPr>
          <w:rStyle w:val="Hyperkobling"/>
          <w:rFonts w:ascii="Trebuchet MS" w:hAnsi="Trebuchet MS"/>
          <w:color w:val="auto"/>
          <w:sz w:val="22"/>
          <w:u w:val="none"/>
        </w:rPr>
        <w:t>.no</w:t>
      </w:r>
      <w:r w:rsidR="00767583" w:rsidRPr="005560DB">
        <w:rPr>
          <w:rStyle w:val="Hyperkobling"/>
          <w:rFonts w:ascii="Trebuchet MS" w:hAnsi="Trebuchet MS"/>
          <w:color w:val="auto"/>
          <w:sz w:val="22"/>
          <w:u w:val="none"/>
        </w:rPr>
        <w:t xml:space="preserve">, eller sendes i post til </w:t>
      </w:r>
      <w:r w:rsidR="007C1D59">
        <w:rPr>
          <w:rStyle w:val="Hyperkobling"/>
          <w:rFonts w:ascii="Trebuchet MS" w:hAnsi="Trebuchet MS"/>
          <w:color w:val="auto"/>
          <w:sz w:val="22"/>
          <w:u w:val="none"/>
        </w:rPr>
        <w:t>Sørlandets Kompetansefond, postboks 183, 4662 Kristiansand</w:t>
      </w:r>
      <w:r w:rsidR="00767583" w:rsidRPr="005560DB">
        <w:rPr>
          <w:rStyle w:val="Hyperkobling"/>
          <w:rFonts w:ascii="Trebuchet MS" w:hAnsi="Trebuchet MS"/>
          <w:color w:val="auto"/>
          <w:sz w:val="22"/>
          <w:u w:val="none"/>
        </w:rPr>
        <w:t xml:space="preserve">. </w:t>
      </w:r>
    </w:p>
    <w:p w14:paraId="7E33B659" w14:textId="77777777" w:rsidR="005560DB" w:rsidRDefault="005560DB" w:rsidP="006B39A3">
      <w:pPr>
        <w:spacing w:after="0"/>
        <w:rPr>
          <w:rStyle w:val="Hyperkobling"/>
          <w:rFonts w:ascii="Trebuchet MS" w:hAnsi="Trebuchet MS"/>
          <w:color w:val="auto"/>
          <w:sz w:val="22"/>
          <w:u w:val="none"/>
        </w:rPr>
      </w:pPr>
    </w:p>
    <w:p w14:paraId="20E782A0" w14:textId="77777777" w:rsidR="00907514" w:rsidRPr="005560DB" w:rsidRDefault="00A74E8D" w:rsidP="006B39A3">
      <w:pPr>
        <w:spacing w:after="0"/>
        <w:rPr>
          <w:rFonts w:ascii="Trebuchet MS" w:hAnsi="Trebuchet MS"/>
          <w:sz w:val="22"/>
        </w:rPr>
      </w:pPr>
      <w:r w:rsidRPr="005560DB">
        <w:rPr>
          <w:rStyle w:val="Hyperkobling"/>
          <w:rFonts w:ascii="Trebuchet MS" w:hAnsi="Trebuchet MS"/>
          <w:color w:val="auto"/>
          <w:sz w:val="22"/>
          <w:u w:val="none"/>
        </w:rPr>
        <w:t xml:space="preserve">Under følger informasjon om de </w:t>
      </w:r>
      <w:r w:rsidR="00822603" w:rsidRPr="005560DB">
        <w:rPr>
          <w:rStyle w:val="Hyperkobling"/>
          <w:rFonts w:ascii="Trebuchet MS" w:hAnsi="Trebuchet MS"/>
          <w:color w:val="auto"/>
          <w:sz w:val="22"/>
          <w:u w:val="none"/>
        </w:rPr>
        <w:t>to</w:t>
      </w:r>
      <w:r w:rsidRPr="005560DB">
        <w:rPr>
          <w:rStyle w:val="Hyperkobling"/>
          <w:rFonts w:ascii="Trebuchet MS" w:hAnsi="Trebuchet MS"/>
          <w:color w:val="auto"/>
          <w:sz w:val="22"/>
          <w:u w:val="none"/>
        </w:rPr>
        <w:t xml:space="preserve"> </w:t>
      </w:r>
      <w:r w:rsidR="00281384" w:rsidRPr="005560DB">
        <w:rPr>
          <w:rStyle w:val="Hyperkobling"/>
          <w:rFonts w:ascii="Trebuchet MS" w:hAnsi="Trebuchet MS"/>
          <w:color w:val="auto"/>
          <w:sz w:val="22"/>
          <w:u w:val="none"/>
        </w:rPr>
        <w:t>forholdene erklæringen omfatter. Vi ber om at denne blir lest nøye før utfylling av erklæringen.</w:t>
      </w:r>
    </w:p>
    <w:p w14:paraId="6C8AE533" w14:textId="77777777" w:rsidR="00A74E8D" w:rsidRPr="005560DB" w:rsidRDefault="00A74E8D" w:rsidP="006B39A3">
      <w:pPr>
        <w:spacing w:after="0"/>
        <w:rPr>
          <w:rFonts w:ascii="Trebuchet MS" w:hAnsi="Trebuchet MS"/>
          <w:sz w:val="22"/>
        </w:rPr>
      </w:pPr>
    </w:p>
    <w:p w14:paraId="2787D4C2" w14:textId="77777777" w:rsidR="002C7D7E" w:rsidRPr="006B39A3" w:rsidRDefault="00822603" w:rsidP="006B39A3">
      <w:pPr>
        <w:pStyle w:val="Alt0"/>
      </w:pPr>
      <w:r w:rsidRPr="006B39A3">
        <w:t>1</w:t>
      </w:r>
      <w:r w:rsidR="006B39A3" w:rsidRPr="006B39A3">
        <w:t xml:space="preserve">. </w:t>
      </w:r>
      <w:r w:rsidR="002C7D7E" w:rsidRPr="006B39A3">
        <w:t xml:space="preserve">Erklæring om at foretaket ikke er i økonomiske vanskeligheter </w:t>
      </w:r>
    </w:p>
    <w:p w14:paraId="20F9DA70" w14:textId="77777777" w:rsidR="005560DB" w:rsidRDefault="005560DB" w:rsidP="006B39A3">
      <w:pPr>
        <w:pStyle w:val="Alt1"/>
        <w:spacing w:after="0"/>
        <w:ind w:left="0" w:firstLine="0"/>
        <w:rPr>
          <w:rFonts w:ascii="Trebuchet MS" w:hAnsi="Trebuchet MS"/>
          <w:sz w:val="22"/>
          <w:szCs w:val="22"/>
        </w:rPr>
      </w:pPr>
    </w:p>
    <w:p w14:paraId="2C3DCADD" w14:textId="77777777" w:rsidR="002C7D7E" w:rsidRPr="005560DB" w:rsidRDefault="002C7D7E" w:rsidP="006B39A3">
      <w:pPr>
        <w:pStyle w:val="Alt1"/>
        <w:spacing w:after="0"/>
        <w:ind w:left="0" w:firstLine="0"/>
        <w:rPr>
          <w:rFonts w:ascii="Trebuchet MS" w:hAnsi="Trebuchet MS"/>
          <w:b w:val="0"/>
          <w:sz w:val="22"/>
          <w:szCs w:val="22"/>
        </w:rPr>
      </w:pPr>
      <w:r w:rsidRPr="005560DB">
        <w:rPr>
          <w:rFonts w:ascii="Trebuchet MS" w:hAnsi="Trebuchet MS"/>
          <w:sz w:val="22"/>
          <w:szCs w:val="22"/>
        </w:rPr>
        <w:t>Begrunnelse for kravet om egenerklæring</w:t>
      </w:r>
      <w:r w:rsidRPr="005560DB">
        <w:rPr>
          <w:rFonts w:ascii="Trebuchet MS" w:hAnsi="Trebuchet MS"/>
          <w:sz w:val="22"/>
          <w:szCs w:val="22"/>
        </w:rPr>
        <w:br/>
      </w:r>
      <w:r w:rsidRPr="005560DB">
        <w:rPr>
          <w:rFonts w:ascii="Trebuchet MS" w:hAnsi="Trebuchet MS"/>
          <w:b w:val="0"/>
          <w:sz w:val="22"/>
          <w:szCs w:val="22"/>
        </w:rPr>
        <w:t xml:space="preserve">Foretak i vanskeligheter kan </w:t>
      </w:r>
      <w:r w:rsidR="00822603" w:rsidRPr="005560DB">
        <w:rPr>
          <w:rFonts w:ascii="Trebuchet MS" w:hAnsi="Trebuchet MS"/>
          <w:b w:val="0"/>
          <w:sz w:val="22"/>
          <w:szCs w:val="22"/>
        </w:rPr>
        <w:t xml:space="preserve">som hovedregel </w:t>
      </w:r>
      <w:r w:rsidRPr="005560DB">
        <w:rPr>
          <w:rFonts w:ascii="Trebuchet MS" w:hAnsi="Trebuchet MS"/>
          <w:b w:val="0"/>
          <w:sz w:val="22"/>
          <w:szCs w:val="22"/>
        </w:rPr>
        <w:t xml:space="preserve">ikke motta statsstøtte i henhold til gruppeunntaket. Søkerbedriften bes derfor om å bekrefte at den </w:t>
      </w:r>
      <w:r w:rsidRPr="005560DB">
        <w:rPr>
          <w:rFonts w:ascii="Trebuchet MS" w:hAnsi="Trebuchet MS"/>
          <w:b w:val="0"/>
          <w:i/>
          <w:sz w:val="22"/>
          <w:szCs w:val="22"/>
        </w:rPr>
        <w:t xml:space="preserve">ikke </w:t>
      </w:r>
      <w:r w:rsidRPr="005560DB">
        <w:rPr>
          <w:rFonts w:ascii="Trebuchet MS" w:hAnsi="Trebuchet MS"/>
          <w:b w:val="0"/>
          <w:sz w:val="22"/>
          <w:szCs w:val="22"/>
        </w:rPr>
        <w:t xml:space="preserve">er å anse som et foretak i vanskeligheter slik dette er definert i artikkel 2 nr. 18 i gruppeunntaket. </w:t>
      </w:r>
    </w:p>
    <w:p w14:paraId="599C4166" w14:textId="77777777" w:rsidR="006B39A3" w:rsidRDefault="006B39A3" w:rsidP="006B39A3">
      <w:pPr>
        <w:pStyle w:val="Default"/>
        <w:rPr>
          <w:rFonts w:ascii="Trebuchet MS" w:hAnsi="Trebuchet MS"/>
          <w:color w:val="auto"/>
          <w:sz w:val="22"/>
          <w:szCs w:val="22"/>
        </w:rPr>
      </w:pPr>
    </w:p>
    <w:p w14:paraId="5A85B9F9" w14:textId="77777777" w:rsidR="00822603" w:rsidRPr="005560DB" w:rsidRDefault="002C7D7E" w:rsidP="006B39A3">
      <w:pPr>
        <w:pStyle w:val="Default"/>
        <w:rPr>
          <w:rFonts w:ascii="Trebuchet MS" w:hAnsi="Trebuchet MS"/>
          <w:color w:val="auto"/>
          <w:sz w:val="22"/>
          <w:szCs w:val="22"/>
        </w:rPr>
      </w:pPr>
      <w:r w:rsidRPr="005560DB">
        <w:rPr>
          <w:rFonts w:ascii="Trebuchet MS" w:hAnsi="Trebuchet MS"/>
          <w:color w:val="auto"/>
          <w:sz w:val="22"/>
          <w:szCs w:val="22"/>
        </w:rPr>
        <w:t xml:space="preserve">Et foretak vil anses for å være i vanskeligheter hvis </w:t>
      </w:r>
      <w:r w:rsidRPr="005560DB">
        <w:rPr>
          <w:rFonts w:ascii="Trebuchet MS" w:hAnsi="Trebuchet MS"/>
          <w:i/>
          <w:color w:val="auto"/>
          <w:sz w:val="22"/>
          <w:szCs w:val="22"/>
        </w:rPr>
        <w:t>én eller flere</w:t>
      </w:r>
      <w:r w:rsidRPr="005560DB">
        <w:rPr>
          <w:rFonts w:ascii="Trebuchet MS" w:hAnsi="Trebuchet MS"/>
          <w:color w:val="auto"/>
          <w:sz w:val="22"/>
          <w:szCs w:val="22"/>
        </w:rPr>
        <w:t xml:space="preserve"> av omstendighetene beskrevet i bokstav</w:t>
      </w:r>
      <w:r w:rsidR="00822603" w:rsidRPr="005560DB">
        <w:rPr>
          <w:rFonts w:ascii="Trebuchet MS" w:hAnsi="Trebuchet MS"/>
          <w:color w:val="auto"/>
          <w:sz w:val="22"/>
          <w:szCs w:val="22"/>
        </w:rPr>
        <w:t>ene</w:t>
      </w:r>
      <w:r w:rsidRPr="005560DB">
        <w:rPr>
          <w:rFonts w:ascii="Trebuchet MS" w:hAnsi="Trebuchet MS"/>
          <w:color w:val="auto"/>
          <w:sz w:val="22"/>
          <w:szCs w:val="22"/>
        </w:rPr>
        <w:t xml:space="preserve"> </w:t>
      </w:r>
      <w:r w:rsidR="00822603" w:rsidRPr="005560DB">
        <w:rPr>
          <w:rFonts w:ascii="Trebuchet MS" w:hAnsi="Trebuchet MS"/>
          <w:color w:val="auto"/>
          <w:sz w:val="22"/>
          <w:szCs w:val="22"/>
        </w:rPr>
        <w:t>nedenfor</w:t>
      </w:r>
      <w:r w:rsidRPr="005560DB">
        <w:rPr>
          <w:rFonts w:ascii="Trebuchet MS" w:hAnsi="Trebuchet MS"/>
          <w:color w:val="auto"/>
          <w:sz w:val="22"/>
          <w:szCs w:val="22"/>
        </w:rPr>
        <w:t xml:space="preserve"> er oppfylt</w:t>
      </w:r>
      <w:r w:rsidR="00822603" w:rsidRPr="005560DB">
        <w:rPr>
          <w:rFonts w:ascii="Trebuchet MS" w:hAnsi="Trebuchet MS"/>
          <w:color w:val="auto"/>
          <w:sz w:val="22"/>
          <w:szCs w:val="22"/>
        </w:rPr>
        <w:t xml:space="preserve">: </w:t>
      </w:r>
    </w:p>
    <w:p w14:paraId="573C7014" w14:textId="77777777" w:rsidR="00822603" w:rsidRPr="005560DB" w:rsidRDefault="00822603" w:rsidP="006B39A3">
      <w:pPr>
        <w:pStyle w:val="Default"/>
        <w:rPr>
          <w:rFonts w:ascii="Trebuchet MS" w:hAnsi="Trebuchet MS"/>
          <w:color w:val="auto"/>
          <w:sz w:val="20"/>
          <w:szCs w:val="20"/>
        </w:rPr>
      </w:pPr>
    </w:p>
    <w:p w14:paraId="44A49B50" w14:textId="77777777" w:rsidR="00822603" w:rsidRPr="005560DB" w:rsidRDefault="00822603" w:rsidP="006B39A3">
      <w:pPr>
        <w:pStyle w:val="Default"/>
        <w:numPr>
          <w:ilvl w:val="0"/>
          <w:numId w:val="7"/>
        </w:numPr>
        <w:rPr>
          <w:rFonts w:ascii="Trebuchet MS" w:hAnsi="Trebuchet MS"/>
          <w:color w:val="auto"/>
          <w:sz w:val="20"/>
          <w:szCs w:val="20"/>
        </w:rPr>
      </w:pPr>
      <w:r w:rsidRPr="005560DB">
        <w:rPr>
          <w:rFonts w:ascii="Trebuchet MS" w:hAnsi="Trebuchet MS"/>
          <w:color w:val="auto"/>
          <w:sz w:val="20"/>
          <w:szCs w:val="20"/>
        </w:rPr>
        <w:t xml:space="preserve">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w:t>
      </w:r>
      <w:r w:rsidRPr="005560DB">
        <w:rPr>
          <w:rFonts w:ascii="Trebuchet MS" w:hAnsi="Trebuchet MS"/>
          <w:color w:val="auto"/>
          <w:sz w:val="20"/>
          <w:szCs w:val="20"/>
        </w:rPr>
        <w:lastRenderedPageBreak/>
        <w:t>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w:t>
      </w:r>
      <w:proofErr w:type="gramStart"/>
      <w:r w:rsidRPr="005560DB">
        <w:rPr>
          <w:rFonts w:ascii="Trebuchet MS" w:hAnsi="Trebuchet MS"/>
          <w:color w:val="auto"/>
          <w:sz w:val="20"/>
          <w:szCs w:val="20"/>
        </w:rPr>
        <w:t>EU(</w:t>
      </w:r>
      <w:proofErr w:type="gramEnd"/>
      <w:r w:rsidRPr="005560DB">
        <w:rPr>
          <w:rFonts w:ascii="Trebuchet MS" w:hAnsi="Trebuchet MS"/>
          <w:color w:val="auto"/>
          <w:sz w:val="20"/>
          <w:szCs w:val="20"/>
        </w:rPr>
        <w:t xml:space="preserve">37), og «aksjekapital» omfatter overkurs når det er relevant, </w:t>
      </w:r>
    </w:p>
    <w:p w14:paraId="79E7230D" w14:textId="77777777" w:rsidR="00822603" w:rsidRPr="005560DB" w:rsidRDefault="00822603" w:rsidP="006B39A3">
      <w:pPr>
        <w:pStyle w:val="Default"/>
        <w:ind w:left="720"/>
        <w:rPr>
          <w:rFonts w:ascii="Trebuchet MS" w:hAnsi="Trebuchet MS"/>
          <w:color w:val="auto"/>
          <w:sz w:val="20"/>
          <w:szCs w:val="20"/>
        </w:rPr>
      </w:pPr>
    </w:p>
    <w:p w14:paraId="3338A581" w14:textId="77777777" w:rsidR="00822603" w:rsidRPr="005560DB" w:rsidRDefault="00822603" w:rsidP="006B39A3">
      <w:pPr>
        <w:pStyle w:val="Default"/>
        <w:numPr>
          <w:ilvl w:val="0"/>
          <w:numId w:val="7"/>
        </w:numPr>
        <w:rPr>
          <w:rFonts w:ascii="Trebuchet MS" w:hAnsi="Trebuchet MS"/>
          <w:color w:val="auto"/>
          <w:sz w:val="20"/>
          <w:szCs w:val="20"/>
        </w:rPr>
      </w:pPr>
      <w:r w:rsidRPr="005560DB">
        <w:rPr>
          <w:rFonts w:ascii="Trebuchet MS" w:hAnsi="Trebuchet MS"/>
          <w:color w:val="auto"/>
          <w:sz w:val="20"/>
          <w:szCs w:val="20"/>
        </w:rPr>
        <w:t xml:space="preserve">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14:paraId="1F322267" w14:textId="77777777" w:rsidR="00822603" w:rsidRPr="005560DB" w:rsidRDefault="00822603" w:rsidP="006B39A3">
      <w:pPr>
        <w:pStyle w:val="Default"/>
        <w:ind w:left="720"/>
        <w:rPr>
          <w:rFonts w:ascii="Trebuchet MS" w:hAnsi="Trebuchet MS"/>
          <w:color w:val="auto"/>
          <w:sz w:val="20"/>
          <w:szCs w:val="20"/>
        </w:rPr>
      </w:pPr>
    </w:p>
    <w:p w14:paraId="615E8968" w14:textId="77777777" w:rsidR="00822603" w:rsidRPr="005560DB" w:rsidRDefault="00822603" w:rsidP="006B39A3">
      <w:pPr>
        <w:pStyle w:val="Default"/>
        <w:numPr>
          <w:ilvl w:val="0"/>
          <w:numId w:val="7"/>
        </w:numPr>
        <w:rPr>
          <w:rFonts w:ascii="Trebuchet MS" w:hAnsi="Trebuchet MS"/>
          <w:color w:val="auto"/>
          <w:sz w:val="20"/>
          <w:szCs w:val="20"/>
        </w:rPr>
      </w:pPr>
      <w:r w:rsidRPr="005560DB">
        <w:rPr>
          <w:rFonts w:ascii="Trebuchet MS" w:hAnsi="Trebuchet MS"/>
          <w:color w:val="auto"/>
          <w:sz w:val="20"/>
          <w:szCs w:val="20"/>
        </w:rPr>
        <w:t xml:space="preserve">foretaket er gjenstand for kollektiv insolvensbehandling eller oppfyller de fastsatte kriterier i nasjonal lovgivning for å være gjenstand for kollektiv insolvensbehandling etter anmodning fra kreditorene, </w:t>
      </w:r>
    </w:p>
    <w:p w14:paraId="02CA3945" w14:textId="77777777" w:rsidR="00822603" w:rsidRPr="005560DB" w:rsidRDefault="00822603" w:rsidP="006B39A3">
      <w:pPr>
        <w:pStyle w:val="Default"/>
        <w:ind w:left="720"/>
        <w:rPr>
          <w:rFonts w:ascii="Trebuchet MS" w:hAnsi="Trebuchet MS"/>
          <w:color w:val="auto"/>
          <w:sz w:val="20"/>
          <w:szCs w:val="20"/>
        </w:rPr>
      </w:pPr>
    </w:p>
    <w:p w14:paraId="2303C16B" w14:textId="77777777" w:rsidR="00822603" w:rsidRPr="005560DB" w:rsidRDefault="00822603" w:rsidP="006B39A3">
      <w:pPr>
        <w:pStyle w:val="Default"/>
        <w:numPr>
          <w:ilvl w:val="0"/>
          <w:numId w:val="7"/>
        </w:numPr>
        <w:rPr>
          <w:rFonts w:ascii="Trebuchet MS" w:hAnsi="Trebuchet MS"/>
          <w:color w:val="auto"/>
          <w:sz w:val="20"/>
          <w:szCs w:val="20"/>
        </w:rPr>
      </w:pPr>
      <w:r w:rsidRPr="005560DB">
        <w:rPr>
          <w:rFonts w:ascii="Trebuchet MS" w:hAnsi="Trebuchet MS"/>
          <w:color w:val="auto"/>
          <w:sz w:val="20"/>
          <w:szCs w:val="20"/>
        </w:rPr>
        <w:t xml:space="preserve">foretaket har mottatt krisestøtte og har ennå ikke tilbakebetalt lånet eller innløst garantien, eller det har mottatt omstruktureringsstøtte og er fortsatt omfattet av en omstruktureringsplan, </w:t>
      </w:r>
    </w:p>
    <w:p w14:paraId="621FE5EF" w14:textId="77777777" w:rsidR="00822603" w:rsidRPr="005560DB" w:rsidRDefault="00822603" w:rsidP="006B39A3">
      <w:pPr>
        <w:pStyle w:val="Default"/>
        <w:ind w:left="720"/>
        <w:rPr>
          <w:rFonts w:ascii="Trebuchet MS" w:hAnsi="Trebuchet MS"/>
          <w:color w:val="auto"/>
          <w:sz w:val="20"/>
          <w:szCs w:val="20"/>
        </w:rPr>
      </w:pPr>
    </w:p>
    <w:p w14:paraId="7CC4FE47" w14:textId="77777777" w:rsidR="00822603" w:rsidRPr="005560DB" w:rsidRDefault="00822603" w:rsidP="006B39A3">
      <w:pPr>
        <w:pStyle w:val="Default"/>
        <w:numPr>
          <w:ilvl w:val="0"/>
          <w:numId w:val="7"/>
        </w:numPr>
        <w:rPr>
          <w:rFonts w:ascii="Trebuchet MS" w:hAnsi="Trebuchet MS"/>
          <w:color w:val="auto"/>
          <w:sz w:val="20"/>
          <w:szCs w:val="20"/>
        </w:rPr>
      </w:pPr>
      <w:r w:rsidRPr="005560DB">
        <w:rPr>
          <w:rFonts w:ascii="Trebuchet MS" w:hAnsi="Trebuchet MS"/>
          <w:color w:val="auto"/>
          <w:sz w:val="20"/>
          <w:szCs w:val="20"/>
        </w:rPr>
        <w:t xml:space="preserve">når det gjelder et foretak som ikke er en SMB, dersom følgende gjelder for de to foregående årene: </w:t>
      </w:r>
    </w:p>
    <w:p w14:paraId="2C5BDEAF" w14:textId="77777777" w:rsidR="00822603" w:rsidRPr="005560DB" w:rsidRDefault="00822603" w:rsidP="006B39A3">
      <w:pPr>
        <w:pStyle w:val="Default"/>
        <w:rPr>
          <w:rFonts w:ascii="Trebuchet MS" w:hAnsi="Trebuchet MS"/>
          <w:color w:val="auto"/>
          <w:sz w:val="20"/>
          <w:szCs w:val="20"/>
        </w:rPr>
      </w:pPr>
    </w:p>
    <w:p w14:paraId="5B7AA0D6" w14:textId="77777777" w:rsidR="00822603" w:rsidRPr="005560DB" w:rsidRDefault="00822603" w:rsidP="006B39A3">
      <w:pPr>
        <w:pStyle w:val="Default"/>
        <w:numPr>
          <w:ilvl w:val="0"/>
          <w:numId w:val="8"/>
        </w:numPr>
        <w:rPr>
          <w:rFonts w:ascii="Trebuchet MS" w:hAnsi="Trebuchet MS"/>
          <w:color w:val="auto"/>
          <w:sz w:val="20"/>
          <w:szCs w:val="20"/>
        </w:rPr>
      </w:pPr>
      <w:r w:rsidRPr="005560DB">
        <w:rPr>
          <w:rFonts w:ascii="Trebuchet MS" w:hAnsi="Trebuchet MS"/>
          <w:color w:val="auto"/>
          <w:sz w:val="20"/>
          <w:szCs w:val="20"/>
        </w:rPr>
        <w:t xml:space="preserve">foretakets bokførte forhold mellom gjeld og egenkapital har vært større enn 7,5 og </w:t>
      </w:r>
    </w:p>
    <w:p w14:paraId="0A79139A" w14:textId="77777777" w:rsidR="00822603" w:rsidRPr="005560DB" w:rsidRDefault="00822603" w:rsidP="006B39A3">
      <w:pPr>
        <w:pStyle w:val="Listeavsnitt"/>
        <w:numPr>
          <w:ilvl w:val="0"/>
          <w:numId w:val="8"/>
        </w:numPr>
        <w:spacing w:after="0"/>
        <w:rPr>
          <w:rFonts w:ascii="Trebuchet MS" w:hAnsi="Trebuchet MS"/>
          <w:sz w:val="20"/>
          <w:szCs w:val="20"/>
        </w:rPr>
      </w:pPr>
      <w:r w:rsidRPr="005560DB">
        <w:rPr>
          <w:rFonts w:ascii="Trebuchet MS" w:hAnsi="Trebuchet MS"/>
          <w:sz w:val="20"/>
          <w:szCs w:val="20"/>
        </w:rPr>
        <w:t>foretakets EBITDA-rentedekningsgrad har vært lavere enn 1,0.</w:t>
      </w:r>
    </w:p>
    <w:p w14:paraId="61F1B6F6" w14:textId="77777777" w:rsidR="005560DB" w:rsidRDefault="005560DB" w:rsidP="006B39A3">
      <w:pPr>
        <w:spacing w:after="0"/>
        <w:rPr>
          <w:rFonts w:ascii="Trebuchet MS" w:hAnsi="Trebuchet MS"/>
          <w:b/>
          <w:sz w:val="22"/>
        </w:rPr>
      </w:pPr>
    </w:p>
    <w:p w14:paraId="1104E82B" w14:textId="77777777" w:rsidR="002C7D7E" w:rsidRPr="005560DB" w:rsidRDefault="00822603" w:rsidP="006B39A3">
      <w:pPr>
        <w:spacing w:after="0"/>
        <w:rPr>
          <w:rFonts w:ascii="Trebuchet MS" w:hAnsi="Trebuchet MS"/>
          <w:b/>
          <w:szCs w:val="24"/>
        </w:rPr>
      </w:pPr>
      <w:r w:rsidRPr="005560DB">
        <w:rPr>
          <w:rFonts w:ascii="Trebuchet MS" w:hAnsi="Trebuchet MS"/>
          <w:b/>
          <w:szCs w:val="24"/>
        </w:rPr>
        <w:t>2</w:t>
      </w:r>
      <w:r w:rsidR="006B39A3">
        <w:rPr>
          <w:rFonts w:ascii="Trebuchet MS" w:hAnsi="Trebuchet MS"/>
          <w:b/>
          <w:szCs w:val="24"/>
        </w:rPr>
        <w:t xml:space="preserve">. </w:t>
      </w:r>
      <w:r w:rsidR="002C7D7E" w:rsidRPr="005560DB">
        <w:rPr>
          <w:rFonts w:ascii="Trebuchet MS" w:hAnsi="Trebuchet MS"/>
          <w:b/>
          <w:szCs w:val="24"/>
        </w:rPr>
        <w:t xml:space="preserve">Erklæring om at foretaket ikke har utestående tilbakebetalingskrav etter beslutning fra </w:t>
      </w:r>
      <w:proofErr w:type="spellStart"/>
      <w:r w:rsidR="002C7D7E" w:rsidRPr="005560DB">
        <w:rPr>
          <w:rFonts w:ascii="Trebuchet MS" w:hAnsi="Trebuchet MS"/>
          <w:b/>
          <w:szCs w:val="24"/>
        </w:rPr>
        <w:t>EFTAs</w:t>
      </w:r>
      <w:proofErr w:type="spellEnd"/>
      <w:r w:rsidR="002C7D7E" w:rsidRPr="005560DB">
        <w:rPr>
          <w:rFonts w:ascii="Trebuchet MS" w:hAnsi="Trebuchet MS"/>
          <w:b/>
          <w:szCs w:val="24"/>
        </w:rPr>
        <w:t xml:space="preserve"> overvåkingsorgan eller EU-kommisjonen</w:t>
      </w:r>
    </w:p>
    <w:p w14:paraId="044B6336" w14:textId="77777777" w:rsidR="005560DB" w:rsidRDefault="005560DB" w:rsidP="006B39A3">
      <w:pPr>
        <w:spacing w:after="0"/>
        <w:rPr>
          <w:rFonts w:ascii="Trebuchet MS" w:hAnsi="Trebuchet MS"/>
          <w:b/>
          <w:sz w:val="22"/>
        </w:rPr>
      </w:pPr>
    </w:p>
    <w:p w14:paraId="5B29BAD3" w14:textId="77777777" w:rsidR="002C7D7E" w:rsidRPr="005560DB" w:rsidRDefault="002C7D7E" w:rsidP="006B39A3">
      <w:pPr>
        <w:spacing w:after="0"/>
        <w:rPr>
          <w:rFonts w:ascii="Trebuchet MS" w:hAnsi="Trebuchet MS"/>
          <w:b/>
          <w:sz w:val="22"/>
        </w:rPr>
      </w:pPr>
      <w:r w:rsidRPr="005560DB">
        <w:rPr>
          <w:rFonts w:ascii="Trebuchet MS" w:hAnsi="Trebuchet MS"/>
          <w:b/>
          <w:sz w:val="22"/>
        </w:rPr>
        <w:t>Begrunnelse for kravet om egenerklæring:</w:t>
      </w:r>
    </w:p>
    <w:p w14:paraId="6AF110EF" w14:textId="77777777" w:rsidR="002C7D7E" w:rsidRDefault="002C7D7E" w:rsidP="006B39A3">
      <w:pPr>
        <w:spacing w:after="0"/>
        <w:rPr>
          <w:rFonts w:ascii="Trebuchet MS" w:hAnsi="Trebuchet MS"/>
          <w:sz w:val="22"/>
        </w:rPr>
      </w:pPr>
      <w:r w:rsidRPr="005560DB">
        <w:rPr>
          <w:rFonts w:ascii="Trebuchet MS" w:hAnsi="Trebuchet MS"/>
          <w:sz w:val="22"/>
        </w:rPr>
        <w:t xml:space="preserve">Foretak som har utestående tilbakebetalingskrav etter at </w:t>
      </w:r>
      <w:proofErr w:type="spellStart"/>
      <w:r w:rsidRPr="005560DB">
        <w:rPr>
          <w:rFonts w:ascii="Trebuchet MS" w:hAnsi="Trebuchet MS"/>
          <w:sz w:val="22"/>
        </w:rPr>
        <w:t>EFTAs</w:t>
      </w:r>
      <w:proofErr w:type="spellEnd"/>
      <w:r w:rsidRPr="005560DB">
        <w:rPr>
          <w:rFonts w:ascii="Trebuchet MS" w:hAnsi="Trebuchet MS"/>
          <w:sz w:val="22"/>
        </w:rPr>
        <w:t xml:space="preserve"> overvåkingsorgan (ESA) eller EU-kommisjonen har fattet en offisiell beslutning om at foretaket har mottatt ulovlig statsstøtte, kan </w:t>
      </w:r>
      <w:r w:rsidR="00822603" w:rsidRPr="005560DB">
        <w:rPr>
          <w:rFonts w:ascii="Trebuchet MS" w:hAnsi="Trebuchet MS"/>
          <w:sz w:val="22"/>
        </w:rPr>
        <w:t xml:space="preserve">som hovedregel </w:t>
      </w:r>
      <w:r w:rsidRPr="005560DB">
        <w:rPr>
          <w:rFonts w:ascii="Trebuchet MS" w:hAnsi="Trebuchet MS"/>
          <w:sz w:val="22"/>
        </w:rPr>
        <w:t>ikke motta statsstøtte i henhold til gruppeunntaket.</w:t>
      </w:r>
      <w:r w:rsidR="00822603" w:rsidRPr="005560DB">
        <w:rPr>
          <w:rFonts w:ascii="Trebuchet MS" w:hAnsi="Trebuchet MS"/>
          <w:sz w:val="22"/>
        </w:rPr>
        <w:t xml:space="preserve"> </w:t>
      </w:r>
      <w:r w:rsidRPr="005560DB">
        <w:rPr>
          <w:rFonts w:ascii="Trebuchet MS" w:hAnsi="Trebuchet MS"/>
          <w:sz w:val="22"/>
        </w:rPr>
        <w:t>Søkere bes derfor om å bekrefte at det ikke foreligger noe slikt utestående tilbakebetalingskrav.</w:t>
      </w:r>
    </w:p>
    <w:p w14:paraId="3D238A53" w14:textId="77777777" w:rsidR="006B39A3" w:rsidRPr="005560DB" w:rsidRDefault="006B39A3" w:rsidP="006B39A3">
      <w:pPr>
        <w:spacing w:after="0"/>
        <w:rPr>
          <w:rFonts w:ascii="Trebuchet MS" w:hAnsi="Trebuchet MS"/>
          <w:sz w:val="22"/>
        </w:rPr>
      </w:pPr>
    </w:p>
    <w:p w14:paraId="177E6267" w14:textId="77777777" w:rsidR="002C7D7E" w:rsidRPr="005560DB" w:rsidRDefault="002C7D7E" w:rsidP="006B39A3">
      <w:pPr>
        <w:spacing w:after="0"/>
        <w:rPr>
          <w:rFonts w:ascii="Trebuchet MS" w:hAnsi="Trebuchet MS"/>
          <w:sz w:val="22"/>
        </w:rPr>
      </w:pPr>
      <w:r w:rsidRPr="005560DB">
        <w:rPr>
          <w:rFonts w:ascii="Trebuchet MS" w:hAnsi="Trebuchet MS"/>
          <w:sz w:val="22"/>
        </w:rPr>
        <w:t>Merk at det kun er i de tilfeller hvor enten ESA eller EU-kommisjonen har fattet et vedtak om at foretaket har mottatt ulovlig støtte, og der foretaket ikke har betalt tilbake støtten, at foretaket er forhindret fra å motta ytterligere støtte.</w:t>
      </w:r>
    </w:p>
    <w:p w14:paraId="6691D17F" w14:textId="77777777" w:rsidR="00CA4DA6" w:rsidRPr="005560DB" w:rsidRDefault="00CA4DA6" w:rsidP="006B39A3">
      <w:pPr>
        <w:spacing w:after="0"/>
        <w:rPr>
          <w:rFonts w:ascii="Trebuchet MS" w:hAnsi="Trebuchet MS"/>
          <w:sz w:val="22"/>
        </w:rPr>
      </w:pPr>
      <w:r w:rsidRPr="005560DB">
        <w:rPr>
          <w:rFonts w:ascii="Trebuchet MS" w:hAnsi="Trebuchet MS"/>
          <w:sz w:val="22"/>
        </w:rPr>
        <w:br w:type="page"/>
      </w:r>
    </w:p>
    <w:p w14:paraId="031EEB4D" w14:textId="77B9CA6E" w:rsidR="00F90C38" w:rsidRPr="005560DB" w:rsidRDefault="00822603" w:rsidP="00822603">
      <w:pPr>
        <w:spacing w:after="0"/>
        <w:rPr>
          <w:rFonts w:ascii="Trebuchet MS" w:hAnsi="Trebuchet MS"/>
          <w:i/>
          <w:sz w:val="22"/>
        </w:rPr>
      </w:pPr>
      <w:r w:rsidRPr="005560DB">
        <w:rPr>
          <w:rFonts w:ascii="Trebuchet MS" w:hAnsi="Trebuchet MS"/>
          <w:sz w:val="22"/>
          <w:u w:val="single"/>
        </w:rPr>
        <w:lastRenderedPageBreak/>
        <w:t>E</w:t>
      </w:r>
      <w:r w:rsidR="00F90C38" w:rsidRPr="005560DB">
        <w:rPr>
          <w:rFonts w:ascii="Trebuchet MS" w:hAnsi="Trebuchet MS"/>
          <w:sz w:val="22"/>
          <w:u w:val="single"/>
        </w:rPr>
        <w:t>generklæring</w:t>
      </w:r>
      <w:r w:rsidRPr="005560DB">
        <w:rPr>
          <w:rFonts w:ascii="Trebuchet MS" w:hAnsi="Trebuchet MS"/>
          <w:sz w:val="22"/>
          <w:u w:val="single"/>
        </w:rPr>
        <w:t xml:space="preserve"> – </w:t>
      </w:r>
      <w:r w:rsidR="007C1D59">
        <w:rPr>
          <w:rFonts w:ascii="Trebuchet MS" w:hAnsi="Trebuchet MS"/>
          <w:sz w:val="22"/>
          <w:u w:val="single"/>
        </w:rPr>
        <w:t>Sørlandets Kompetansefond</w:t>
      </w:r>
      <w:r w:rsidR="00336408" w:rsidRPr="005560DB">
        <w:rPr>
          <w:rFonts w:ascii="Trebuchet MS" w:hAnsi="Trebuchet MS"/>
          <w:b/>
          <w:sz w:val="22"/>
          <w:u w:val="single"/>
        </w:rPr>
        <w:br/>
      </w:r>
      <w:r w:rsidR="00336408" w:rsidRPr="005560DB">
        <w:rPr>
          <w:rFonts w:ascii="Trebuchet MS" w:hAnsi="Trebuchet MS"/>
          <w:sz w:val="22"/>
          <w:u w:val="single"/>
        </w:rPr>
        <w:t>S</w:t>
      </w:r>
      <w:r w:rsidR="00F90C38" w:rsidRPr="005560DB">
        <w:rPr>
          <w:rFonts w:ascii="Trebuchet MS" w:hAnsi="Trebuchet MS"/>
          <w:sz w:val="22"/>
          <w:u w:val="single"/>
        </w:rPr>
        <w:t>øknadsnummer</w:t>
      </w:r>
      <w:r w:rsidR="00336408" w:rsidRPr="005560DB">
        <w:rPr>
          <w:rFonts w:ascii="Trebuchet MS" w:hAnsi="Trebuchet MS"/>
          <w:sz w:val="22"/>
          <w:u w:val="single"/>
        </w:rPr>
        <w:t>: _______</w:t>
      </w:r>
    </w:p>
    <w:p w14:paraId="5435AD9B" w14:textId="77777777" w:rsidR="006B39A3" w:rsidRDefault="006B39A3" w:rsidP="00822603">
      <w:pPr>
        <w:spacing w:after="0"/>
        <w:jc w:val="center"/>
        <w:rPr>
          <w:rFonts w:ascii="Trebuchet MS" w:hAnsi="Trebuchet MS"/>
          <w:b/>
          <w:szCs w:val="24"/>
        </w:rPr>
      </w:pPr>
    </w:p>
    <w:p w14:paraId="2A51FBD6" w14:textId="77777777" w:rsidR="000A0559" w:rsidRPr="006B39A3" w:rsidRDefault="000A0559" w:rsidP="00822603">
      <w:pPr>
        <w:spacing w:after="0"/>
        <w:jc w:val="center"/>
        <w:rPr>
          <w:rFonts w:ascii="Trebuchet MS" w:hAnsi="Trebuchet MS"/>
          <w:b/>
          <w:sz w:val="28"/>
          <w:szCs w:val="28"/>
        </w:rPr>
      </w:pPr>
      <w:r w:rsidRPr="006B39A3">
        <w:rPr>
          <w:rFonts w:ascii="Trebuchet MS" w:hAnsi="Trebuchet MS"/>
          <w:b/>
          <w:sz w:val="28"/>
          <w:szCs w:val="28"/>
        </w:rPr>
        <w:t>Erklæring</w:t>
      </w:r>
    </w:p>
    <w:p w14:paraId="26371A22" w14:textId="77777777" w:rsidR="00071C81" w:rsidRPr="005560DB" w:rsidRDefault="00E20302" w:rsidP="00822603">
      <w:pPr>
        <w:spacing w:after="0"/>
        <w:jc w:val="center"/>
        <w:rPr>
          <w:rFonts w:ascii="Trebuchet MS" w:hAnsi="Trebuchet MS"/>
          <w:b/>
          <w:sz w:val="22"/>
        </w:rPr>
      </w:pPr>
      <w:r w:rsidRPr="005560DB">
        <w:rPr>
          <w:rFonts w:ascii="Trebuchet MS" w:hAnsi="Trebuchet MS"/>
          <w:i/>
          <w:sz w:val="22"/>
        </w:rPr>
        <w:t xml:space="preserve">(fylles ut, signeres og </w:t>
      </w:r>
      <w:r w:rsidR="00822603" w:rsidRPr="005560DB">
        <w:rPr>
          <w:rFonts w:ascii="Trebuchet MS" w:hAnsi="Trebuchet MS"/>
          <w:i/>
          <w:sz w:val="22"/>
        </w:rPr>
        <w:t>sendes i post eller som vedlegg til e-post)</w:t>
      </w:r>
    </w:p>
    <w:p w14:paraId="2AF25894" w14:textId="77777777" w:rsidR="005560DB" w:rsidRDefault="005560DB" w:rsidP="00822603">
      <w:pPr>
        <w:spacing w:after="0"/>
        <w:jc w:val="both"/>
        <w:rPr>
          <w:rFonts w:ascii="Trebuchet MS" w:hAnsi="Trebuchet MS"/>
          <w:sz w:val="22"/>
        </w:rPr>
      </w:pPr>
    </w:p>
    <w:p w14:paraId="2E3CF185" w14:textId="77777777" w:rsidR="000A0559" w:rsidRPr="005560DB" w:rsidRDefault="000A0559" w:rsidP="00822603">
      <w:pPr>
        <w:spacing w:after="0"/>
        <w:jc w:val="both"/>
        <w:rPr>
          <w:rFonts w:ascii="Trebuchet MS" w:hAnsi="Trebuchet MS"/>
          <w:sz w:val="22"/>
        </w:rPr>
      </w:pPr>
      <w:r w:rsidRPr="005560DB">
        <w:rPr>
          <w:rFonts w:ascii="Trebuchet MS" w:hAnsi="Trebuchet MS"/>
          <w:sz w:val="22"/>
        </w:rPr>
        <w:t>Undertegnede</w:t>
      </w:r>
      <w:r w:rsidR="00CA4DA6" w:rsidRPr="005560DB">
        <w:rPr>
          <w:rFonts w:ascii="Trebuchet MS" w:hAnsi="Trebuchet MS"/>
          <w:sz w:val="22"/>
        </w:rPr>
        <w:t>,</w:t>
      </w:r>
      <w:r w:rsidRPr="005560DB">
        <w:rPr>
          <w:rFonts w:ascii="Trebuchet MS" w:hAnsi="Trebuchet MS"/>
          <w:sz w:val="22"/>
        </w:rPr>
        <w:t xml:space="preserve"> som har fullmakt </w:t>
      </w:r>
      <w:r w:rsidR="00907514" w:rsidRPr="005560DB">
        <w:rPr>
          <w:rFonts w:ascii="Trebuchet MS" w:hAnsi="Trebuchet MS"/>
          <w:sz w:val="22"/>
        </w:rPr>
        <w:t xml:space="preserve">til å </w:t>
      </w:r>
      <w:proofErr w:type="gramStart"/>
      <w:r w:rsidR="00A670E2" w:rsidRPr="005560DB">
        <w:rPr>
          <w:rFonts w:ascii="Trebuchet MS" w:hAnsi="Trebuchet MS"/>
          <w:sz w:val="22"/>
        </w:rPr>
        <w:t>avgi</w:t>
      </w:r>
      <w:proofErr w:type="gramEnd"/>
      <w:r w:rsidR="00A670E2" w:rsidRPr="005560DB">
        <w:rPr>
          <w:rFonts w:ascii="Trebuchet MS" w:hAnsi="Trebuchet MS"/>
          <w:sz w:val="22"/>
        </w:rPr>
        <w:t xml:space="preserve"> erklæring </w:t>
      </w:r>
      <w:r w:rsidR="00907514" w:rsidRPr="005560DB">
        <w:rPr>
          <w:rFonts w:ascii="Trebuchet MS" w:hAnsi="Trebuchet MS"/>
          <w:sz w:val="22"/>
        </w:rPr>
        <w:t xml:space="preserve">på vegne av </w:t>
      </w:r>
    </w:p>
    <w:tbl>
      <w:tblPr>
        <w:tblStyle w:val="Tabellrutenett"/>
        <w:tblW w:w="0" w:type="auto"/>
        <w:tblLook w:val="04A0" w:firstRow="1" w:lastRow="0" w:firstColumn="1" w:lastColumn="0" w:noHBand="0" w:noVBand="1"/>
      </w:tblPr>
      <w:tblGrid>
        <w:gridCol w:w="2938"/>
        <w:gridCol w:w="6122"/>
      </w:tblGrid>
      <w:tr w:rsidR="007A7D4E" w:rsidRPr="005560DB" w14:paraId="55BD0FD0" w14:textId="77777777" w:rsidTr="007A7D4E">
        <w:tc>
          <w:tcPr>
            <w:tcW w:w="2943" w:type="dxa"/>
          </w:tcPr>
          <w:p w14:paraId="730A474A" w14:textId="77777777" w:rsidR="00BB596B" w:rsidRPr="005560DB" w:rsidRDefault="00BB596B" w:rsidP="00822603">
            <w:pPr>
              <w:jc w:val="both"/>
              <w:rPr>
                <w:rFonts w:ascii="Trebuchet MS" w:hAnsi="Trebuchet MS"/>
                <w:sz w:val="22"/>
              </w:rPr>
            </w:pPr>
            <w:r w:rsidRPr="005560DB">
              <w:rPr>
                <w:rFonts w:ascii="Trebuchet MS" w:hAnsi="Trebuchet MS"/>
                <w:sz w:val="22"/>
              </w:rPr>
              <w:t>BEDRIFTENS NAVN:</w:t>
            </w:r>
          </w:p>
          <w:p w14:paraId="6C5DE920" w14:textId="77777777" w:rsidR="00BB596B" w:rsidRPr="005560DB" w:rsidRDefault="00BB596B" w:rsidP="00822603">
            <w:pPr>
              <w:jc w:val="both"/>
              <w:rPr>
                <w:rFonts w:ascii="Trebuchet MS" w:hAnsi="Trebuchet MS"/>
                <w:sz w:val="22"/>
              </w:rPr>
            </w:pPr>
          </w:p>
        </w:tc>
        <w:tc>
          <w:tcPr>
            <w:tcW w:w="6267" w:type="dxa"/>
          </w:tcPr>
          <w:p w14:paraId="69C56B95" w14:textId="77777777" w:rsidR="00BB596B" w:rsidRPr="005560DB" w:rsidRDefault="00BB596B" w:rsidP="00822603">
            <w:pPr>
              <w:jc w:val="both"/>
              <w:rPr>
                <w:rFonts w:ascii="Trebuchet MS" w:hAnsi="Trebuchet MS"/>
                <w:sz w:val="22"/>
              </w:rPr>
            </w:pPr>
          </w:p>
        </w:tc>
      </w:tr>
      <w:tr w:rsidR="007A7D4E" w:rsidRPr="005560DB" w14:paraId="06C3A531" w14:textId="77777777" w:rsidTr="007A7D4E">
        <w:tc>
          <w:tcPr>
            <w:tcW w:w="2943" w:type="dxa"/>
          </w:tcPr>
          <w:p w14:paraId="511492DA" w14:textId="77777777" w:rsidR="00BB596B" w:rsidRPr="005560DB" w:rsidRDefault="00BB596B" w:rsidP="00822603">
            <w:pPr>
              <w:jc w:val="both"/>
              <w:rPr>
                <w:rFonts w:ascii="Trebuchet MS" w:hAnsi="Trebuchet MS"/>
                <w:sz w:val="22"/>
              </w:rPr>
            </w:pPr>
            <w:r w:rsidRPr="005560DB">
              <w:rPr>
                <w:rFonts w:ascii="Trebuchet MS" w:hAnsi="Trebuchet MS"/>
                <w:sz w:val="22"/>
              </w:rPr>
              <w:t>ORGANISASJONSNUMMER:</w:t>
            </w:r>
          </w:p>
          <w:p w14:paraId="1D528B71" w14:textId="77777777" w:rsidR="00BB596B" w:rsidRPr="005560DB" w:rsidRDefault="00BB596B" w:rsidP="00822603">
            <w:pPr>
              <w:jc w:val="both"/>
              <w:rPr>
                <w:rFonts w:ascii="Trebuchet MS" w:hAnsi="Trebuchet MS"/>
                <w:sz w:val="22"/>
              </w:rPr>
            </w:pPr>
          </w:p>
        </w:tc>
        <w:tc>
          <w:tcPr>
            <w:tcW w:w="6267" w:type="dxa"/>
          </w:tcPr>
          <w:p w14:paraId="02BC2427" w14:textId="77777777" w:rsidR="00BB596B" w:rsidRPr="005560DB" w:rsidRDefault="00BB596B" w:rsidP="00822603">
            <w:pPr>
              <w:jc w:val="both"/>
              <w:rPr>
                <w:rFonts w:ascii="Trebuchet MS" w:hAnsi="Trebuchet MS"/>
                <w:sz w:val="22"/>
              </w:rPr>
            </w:pPr>
          </w:p>
        </w:tc>
      </w:tr>
    </w:tbl>
    <w:p w14:paraId="1AA5050C" w14:textId="77777777" w:rsidR="00907514" w:rsidRPr="005560DB" w:rsidRDefault="00ED66A1" w:rsidP="00822603">
      <w:pPr>
        <w:spacing w:after="0"/>
        <w:jc w:val="both"/>
        <w:rPr>
          <w:rFonts w:ascii="Trebuchet MS" w:hAnsi="Trebuchet MS"/>
          <w:sz w:val="22"/>
        </w:rPr>
      </w:pPr>
      <w:r w:rsidRPr="005560DB">
        <w:rPr>
          <w:rFonts w:ascii="Trebuchet MS" w:hAnsi="Trebuchet MS"/>
          <w:sz w:val="22"/>
        </w:rPr>
        <w:t xml:space="preserve">har lest </w:t>
      </w:r>
      <w:r w:rsidR="0037247A" w:rsidRPr="005560DB">
        <w:rPr>
          <w:rFonts w:ascii="Trebuchet MS" w:hAnsi="Trebuchet MS"/>
          <w:sz w:val="22"/>
        </w:rPr>
        <w:t>informasjonsteksten</w:t>
      </w:r>
      <w:r w:rsidRPr="005560DB">
        <w:rPr>
          <w:rFonts w:ascii="Trebuchet MS" w:hAnsi="Trebuchet MS"/>
          <w:sz w:val="22"/>
        </w:rPr>
        <w:t>e</w:t>
      </w:r>
      <w:r w:rsidR="0037247A" w:rsidRPr="005560DB">
        <w:rPr>
          <w:rFonts w:ascii="Trebuchet MS" w:hAnsi="Trebuchet MS"/>
          <w:sz w:val="22"/>
        </w:rPr>
        <w:t xml:space="preserve"> om foretakets størrelse</w:t>
      </w:r>
      <w:r w:rsidR="002C7D7E" w:rsidRPr="005560DB">
        <w:rPr>
          <w:rFonts w:ascii="Trebuchet MS" w:hAnsi="Trebuchet MS"/>
          <w:sz w:val="22"/>
        </w:rPr>
        <w:t>, foretak i økonomiske vanskeligheter</w:t>
      </w:r>
      <w:r w:rsidR="0037247A" w:rsidRPr="005560DB">
        <w:rPr>
          <w:rFonts w:ascii="Trebuchet MS" w:hAnsi="Trebuchet MS"/>
          <w:sz w:val="22"/>
        </w:rPr>
        <w:t xml:space="preserve"> og </w:t>
      </w:r>
      <w:r w:rsidR="002C7D7E" w:rsidRPr="005560DB">
        <w:rPr>
          <w:rFonts w:ascii="Trebuchet MS" w:hAnsi="Trebuchet MS"/>
          <w:sz w:val="22"/>
        </w:rPr>
        <w:t>om utestående tilbakebetalingskrav</w:t>
      </w:r>
      <w:r w:rsidRPr="005560DB">
        <w:rPr>
          <w:rFonts w:ascii="Trebuchet MS" w:hAnsi="Trebuchet MS"/>
          <w:sz w:val="22"/>
        </w:rPr>
        <w:t xml:space="preserve">, og er </w:t>
      </w:r>
      <w:r w:rsidR="006B39A3" w:rsidRPr="005560DB">
        <w:rPr>
          <w:rFonts w:ascii="Trebuchet MS" w:hAnsi="Trebuchet MS"/>
          <w:sz w:val="22"/>
        </w:rPr>
        <w:t>inn</w:t>
      </w:r>
      <w:r w:rsidR="006B39A3">
        <w:rPr>
          <w:rFonts w:ascii="Trebuchet MS" w:hAnsi="Trebuchet MS"/>
          <w:sz w:val="22"/>
        </w:rPr>
        <w:t>f</w:t>
      </w:r>
      <w:r w:rsidR="006B39A3" w:rsidRPr="005560DB">
        <w:rPr>
          <w:rFonts w:ascii="Trebuchet MS" w:hAnsi="Trebuchet MS"/>
          <w:sz w:val="22"/>
        </w:rPr>
        <w:t>orstått</w:t>
      </w:r>
      <w:r w:rsidRPr="005560DB">
        <w:rPr>
          <w:rFonts w:ascii="Trebuchet MS" w:hAnsi="Trebuchet MS"/>
          <w:sz w:val="22"/>
        </w:rPr>
        <w:t xml:space="preserve"> med de beskrevne reglene. </w:t>
      </w:r>
      <w:proofErr w:type="gramStart"/>
      <w:r w:rsidRPr="005560DB">
        <w:rPr>
          <w:rFonts w:ascii="Trebuchet MS" w:hAnsi="Trebuchet MS"/>
          <w:sz w:val="22"/>
        </w:rPr>
        <w:t>Undertegnede</w:t>
      </w:r>
      <w:proofErr w:type="gramEnd"/>
      <w:r w:rsidR="002C7D7E" w:rsidRPr="005560DB">
        <w:rPr>
          <w:rFonts w:ascii="Trebuchet MS" w:hAnsi="Trebuchet MS"/>
          <w:sz w:val="22"/>
        </w:rPr>
        <w:t xml:space="preserve"> </w:t>
      </w:r>
      <w:r w:rsidR="000A0559" w:rsidRPr="005560DB">
        <w:rPr>
          <w:rFonts w:ascii="Trebuchet MS" w:hAnsi="Trebuchet MS"/>
          <w:sz w:val="22"/>
        </w:rPr>
        <w:t xml:space="preserve">bekrefter at nedenstående opplysninger er korrekte og gitt etter beste skjønn. </w:t>
      </w:r>
      <w:proofErr w:type="gramStart"/>
      <w:r w:rsidR="000A0559" w:rsidRPr="005560DB">
        <w:rPr>
          <w:rFonts w:ascii="Trebuchet MS" w:hAnsi="Trebuchet MS"/>
          <w:sz w:val="22"/>
        </w:rPr>
        <w:t>Undertegnede</w:t>
      </w:r>
      <w:proofErr w:type="gramEnd"/>
      <w:r w:rsidR="000A0559" w:rsidRPr="005560DB">
        <w:rPr>
          <w:rFonts w:ascii="Trebuchet MS" w:hAnsi="Trebuchet MS"/>
          <w:sz w:val="22"/>
        </w:rPr>
        <w:t xml:space="preserve"> er videre </w:t>
      </w:r>
      <w:r w:rsidR="006B39A3" w:rsidRPr="005560DB">
        <w:rPr>
          <w:rFonts w:ascii="Trebuchet MS" w:hAnsi="Trebuchet MS"/>
          <w:sz w:val="22"/>
        </w:rPr>
        <w:t>inn</w:t>
      </w:r>
      <w:r w:rsidR="006B39A3">
        <w:rPr>
          <w:rFonts w:ascii="Trebuchet MS" w:hAnsi="Trebuchet MS"/>
          <w:sz w:val="22"/>
        </w:rPr>
        <w:t>f</w:t>
      </w:r>
      <w:r w:rsidR="006B39A3" w:rsidRPr="005560DB">
        <w:rPr>
          <w:rFonts w:ascii="Trebuchet MS" w:hAnsi="Trebuchet MS"/>
          <w:sz w:val="22"/>
        </w:rPr>
        <w:t>orstått</w:t>
      </w:r>
      <w:r w:rsidR="000A0559" w:rsidRPr="005560DB">
        <w:rPr>
          <w:rFonts w:ascii="Trebuchet MS" w:hAnsi="Trebuchet MS"/>
          <w:sz w:val="22"/>
        </w:rPr>
        <w:t xml:space="preserve"> med at </w:t>
      </w:r>
      <w:r w:rsidR="00071C81" w:rsidRPr="005560DB">
        <w:rPr>
          <w:rFonts w:ascii="Trebuchet MS" w:hAnsi="Trebuchet MS"/>
          <w:sz w:val="22"/>
        </w:rPr>
        <w:t xml:space="preserve">tildeling av støtte basert på </w:t>
      </w:r>
      <w:r w:rsidR="000A0559" w:rsidRPr="005560DB">
        <w:rPr>
          <w:rFonts w:ascii="Trebuchet MS" w:hAnsi="Trebuchet MS"/>
          <w:sz w:val="22"/>
        </w:rPr>
        <w:t xml:space="preserve">uriktige opplysninger vil kunne medføre at støtten </w:t>
      </w:r>
      <w:r w:rsidR="00071C81" w:rsidRPr="005560DB">
        <w:rPr>
          <w:rFonts w:ascii="Trebuchet MS" w:hAnsi="Trebuchet MS"/>
          <w:sz w:val="22"/>
        </w:rPr>
        <w:t xml:space="preserve">er </w:t>
      </w:r>
      <w:r w:rsidR="000A0559" w:rsidRPr="005560DB">
        <w:rPr>
          <w:rFonts w:ascii="Trebuchet MS" w:hAnsi="Trebuchet MS"/>
          <w:sz w:val="22"/>
        </w:rPr>
        <w:t>ulovlig i henhold til statsstøtteregelverket og vil kunne kreves tilbakebetalt.</w:t>
      </w:r>
      <w:r w:rsidR="00907514" w:rsidRPr="005560DB">
        <w:rPr>
          <w:rFonts w:ascii="Trebuchet MS" w:hAnsi="Trebuchet MS"/>
          <w:sz w:val="22"/>
        </w:rPr>
        <w:t xml:space="preserve"> </w:t>
      </w:r>
    </w:p>
    <w:p w14:paraId="47BF6954" w14:textId="77777777" w:rsidR="005560DB" w:rsidRDefault="005560DB" w:rsidP="00822603">
      <w:pPr>
        <w:spacing w:after="0"/>
        <w:jc w:val="both"/>
        <w:rPr>
          <w:rFonts w:ascii="Trebuchet MS" w:hAnsi="Trebuchet MS"/>
          <w:sz w:val="22"/>
        </w:rPr>
      </w:pPr>
    </w:p>
    <w:p w14:paraId="15388D27" w14:textId="77777777" w:rsidR="000006F9" w:rsidRPr="005560DB" w:rsidRDefault="00767583" w:rsidP="00822603">
      <w:pPr>
        <w:spacing w:after="0"/>
        <w:jc w:val="both"/>
        <w:rPr>
          <w:rFonts w:ascii="Trebuchet MS" w:hAnsi="Trebuchet MS"/>
          <w:sz w:val="22"/>
        </w:rPr>
      </w:pPr>
      <w:r w:rsidRPr="005560DB">
        <w:rPr>
          <w:rFonts w:ascii="Trebuchet MS" w:hAnsi="Trebuchet MS"/>
          <w:sz w:val="22"/>
        </w:rPr>
        <w:t>1</w:t>
      </w:r>
      <w:r w:rsidR="00CF105F" w:rsidRPr="005560DB">
        <w:rPr>
          <w:rFonts w:ascii="Trebuchet MS" w:hAnsi="Trebuchet MS"/>
          <w:sz w:val="22"/>
        </w:rPr>
        <w:t xml:space="preserve">. </w:t>
      </w:r>
      <w:proofErr w:type="gramStart"/>
      <w:r w:rsidR="00DA5FBE" w:rsidRPr="005560DB">
        <w:rPr>
          <w:rFonts w:ascii="Trebuchet MS" w:hAnsi="Trebuchet MS"/>
          <w:sz w:val="22"/>
        </w:rPr>
        <w:t>Undertegnede</w:t>
      </w:r>
      <w:proofErr w:type="gramEnd"/>
      <w:r w:rsidR="00DA5FBE" w:rsidRPr="005560DB">
        <w:rPr>
          <w:rFonts w:ascii="Trebuchet MS" w:hAnsi="Trebuchet MS"/>
          <w:sz w:val="22"/>
        </w:rPr>
        <w:t xml:space="preserve"> bekrefter at bedriften</w:t>
      </w:r>
      <w:r w:rsidR="008565E7" w:rsidRPr="005560DB">
        <w:rPr>
          <w:rFonts w:ascii="Trebuchet MS" w:hAnsi="Trebuchet MS"/>
          <w:sz w:val="22"/>
        </w:rPr>
        <w:t xml:space="preserve"> </w:t>
      </w:r>
      <w:r w:rsidR="000006F9" w:rsidRPr="005560DB">
        <w:rPr>
          <w:rFonts w:ascii="Trebuchet MS" w:hAnsi="Trebuchet MS"/>
          <w:i/>
          <w:sz w:val="22"/>
        </w:rPr>
        <w:t>ikke</w:t>
      </w:r>
      <w:r w:rsidR="000006F9" w:rsidRPr="005560DB">
        <w:rPr>
          <w:rFonts w:ascii="Trebuchet MS" w:hAnsi="Trebuchet MS"/>
          <w:sz w:val="22"/>
        </w:rPr>
        <w:t xml:space="preserve"> </w:t>
      </w:r>
      <w:r w:rsidR="00DA5FBE" w:rsidRPr="005560DB">
        <w:rPr>
          <w:rFonts w:ascii="Trebuchet MS" w:hAnsi="Trebuchet MS"/>
          <w:sz w:val="22"/>
        </w:rPr>
        <w:t xml:space="preserve">er </w:t>
      </w:r>
      <w:r w:rsidR="000006F9" w:rsidRPr="005560DB">
        <w:rPr>
          <w:rFonts w:ascii="Trebuchet MS" w:hAnsi="Trebuchet MS"/>
          <w:sz w:val="22"/>
        </w:rPr>
        <w:t xml:space="preserve">et foretak i vanskeligheter </w:t>
      </w:r>
      <w:r w:rsidR="008565E7" w:rsidRPr="005560DB">
        <w:rPr>
          <w:rFonts w:ascii="Trebuchet MS" w:hAnsi="Trebuchet MS"/>
          <w:sz w:val="22"/>
        </w:rPr>
        <w:t xml:space="preserve">jf. </w:t>
      </w:r>
      <w:r w:rsidR="000006F9" w:rsidRPr="005560DB">
        <w:rPr>
          <w:rFonts w:ascii="Trebuchet MS" w:hAnsi="Trebuchet MS"/>
          <w:sz w:val="22"/>
        </w:rPr>
        <w:t>definisjonen i artikkel 2 nr. 18 i Kommisjonens forordning (EU) Nr. 651/2014 av 17. juni 2014, publisert i OJ L 187/1.</w:t>
      </w:r>
    </w:p>
    <w:p w14:paraId="358BD3DB" w14:textId="77777777" w:rsidR="005560DB" w:rsidRDefault="005560DB" w:rsidP="00822603">
      <w:pPr>
        <w:spacing w:after="0"/>
        <w:jc w:val="both"/>
        <w:rPr>
          <w:rFonts w:ascii="Trebuchet MS" w:hAnsi="Trebuchet MS"/>
          <w:sz w:val="22"/>
        </w:rPr>
      </w:pPr>
    </w:p>
    <w:p w14:paraId="504B455C" w14:textId="77777777" w:rsidR="00BB596B" w:rsidRDefault="00767583" w:rsidP="00822603">
      <w:pPr>
        <w:spacing w:after="0"/>
        <w:jc w:val="both"/>
        <w:rPr>
          <w:rFonts w:ascii="Trebuchet MS" w:hAnsi="Trebuchet MS"/>
          <w:sz w:val="22"/>
        </w:rPr>
      </w:pPr>
      <w:r w:rsidRPr="005560DB">
        <w:rPr>
          <w:rFonts w:ascii="Trebuchet MS" w:hAnsi="Trebuchet MS"/>
          <w:sz w:val="22"/>
        </w:rPr>
        <w:t>2</w:t>
      </w:r>
      <w:r w:rsidR="00CF105F" w:rsidRPr="005560DB">
        <w:rPr>
          <w:rFonts w:ascii="Trebuchet MS" w:hAnsi="Trebuchet MS"/>
          <w:sz w:val="22"/>
        </w:rPr>
        <w:t xml:space="preserve">. </w:t>
      </w:r>
      <w:proofErr w:type="gramStart"/>
      <w:r w:rsidR="00DA5FBE" w:rsidRPr="005560DB">
        <w:rPr>
          <w:rFonts w:ascii="Trebuchet MS" w:hAnsi="Trebuchet MS"/>
          <w:sz w:val="22"/>
        </w:rPr>
        <w:t>Undertegnede</w:t>
      </w:r>
      <w:proofErr w:type="gramEnd"/>
      <w:r w:rsidR="00DA5FBE" w:rsidRPr="005560DB">
        <w:rPr>
          <w:rFonts w:ascii="Trebuchet MS" w:hAnsi="Trebuchet MS"/>
          <w:sz w:val="22"/>
        </w:rPr>
        <w:t xml:space="preserve"> bekrefter at bedriften </w:t>
      </w:r>
      <w:r w:rsidR="00753AAA" w:rsidRPr="005560DB">
        <w:rPr>
          <w:rFonts w:ascii="Trebuchet MS" w:hAnsi="Trebuchet MS"/>
          <w:i/>
          <w:sz w:val="22"/>
        </w:rPr>
        <w:t>ikke</w:t>
      </w:r>
      <w:r w:rsidR="00753AAA" w:rsidRPr="005560DB">
        <w:rPr>
          <w:rFonts w:ascii="Trebuchet MS" w:hAnsi="Trebuchet MS"/>
          <w:sz w:val="22"/>
        </w:rPr>
        <w:t xml:space="preserve"> </w:t>
      </w:r>
      <w:r w:rsidR="00DA5FBE" w:rsidRPr="005560DB">
        <w:rPr>
          <w:rFonts w:ascii="Trebuchet MS" w:hAnsi="Trebuchet MS"/>
          <w:sz w:val="22"/>
        </w:rPr>
        <w:t xml:space="preserve">har </w:t>
      </w:r>
      <w:r w:rsidR="00753AAA" w:rsidRPr="005560DB">
        <w:rPr>
          <w:rFonts w:ascii="Trebuchet MS" w:hAnsi="Trebuchet MS"/>
          <w:sz w:val="22"/>
        </w:rPr>
        <w:t>utestående tilbakebetalingskrav rettet mot seg som beskrevet i artikkel 1 nr. 4 bokstav a i Kommisjonens forordning (EU) Nr. 651/2014 av 17. juni 2014, publisert i OJ L 187/1.</w:t>
      </w:r>
    </w:p>
    <w:p w14:paraId="72B0BB3A" w14:textId="77777777" w:rsidR="005560DB" w:rsidRPr="005560DB" w:rsidRDefault="005560DB" w:rsidP="00822603">
      <w:pPr>
        <w:spacing w:after="0"/>
        <w:jc w:val="both"/>
        <w:rPr>
          <w:rFonts w:ascii="Trebuchet MS" w:hAnsi="Trebuchet MS"/>
          <w:sz w:val="22"/>
        </w:rPr>
      </w:pPr>
    </w:p>
    <w:tbl>
      <w:tblPr>
        <w:tblStyle w:val="Tabellrutenett"/>
        <w:tblW w:w="0" w:type="auto"/>
        <w:tblLook w:val="04A0" w:firstRow="1" w:lastRow="0" w:firstColumn="1" w:lastColumn="0" w:noHBand="0" w:noVBand="1"/>
      </w:tblPr>
      <w:tblGrid>
        <w:gridCol w:w="1379"/>
        <w:gridCol w:w="7681"/>
      </w:tblGrid>
      <w:tr w:rsidR="007A7D4E" w:rsidRPr="005560DB" w14:paraId="23B3211C" w14:textId="77777777" w:rsidTr="007A7D4E">
        <w:tc>
          <w:tcPr>
            <w:tcW w:w="1384" w:type="dxa"/>
            <w:vAlign w:val="center"/>
          </w:tcPr>
          <w:p w14:paraId="010B93FD" w14:textId="77777777" w:rsidR="00BB596B" w:rsidRPr="005560DB" w:rsidRDefault="00BB596B" w:rsidP="00822603">
            <w:pPr>
              <w:rPr>
                <w:rFonts w:ascii="Trebuchet MS" w:hAnsi="Trebuchet MS"/>
                <w:sz w:val="22"/>
              </w:rPr>
            </w:pPr>
            <w:r w:rsidRPr="005560DB">
              <w:rPr>
                <w:rFonts w:ascii="Trebuchet MS" w:hAnsi="Trebuchet MS"/>
                <w:sz w:val="22"/>
              </w:rPr>
              <w:t>Sted/ dato:</w:t>
            </w:r>
          </w:p>
          <w:p w14:paraId="34390463" w14:textId="77777777" w:rsidR="00BB596B" w:rsidRPr="005560DB" w:rsidRDefault="00BB596B" w:rsidP="00822603">
            <w:pPr>
              <w:rPr>
                <w:rStyle w:val="Hyperkobling"/>
                <w:rFonts w:ascii="Trebuchet MS" w:hAnsi="Trebuchet MS"/>
                <w:color w:val="auto"/>
                <w:sz w:val="22"/>
              </w:rPr>
            </w:pPr>
          </w:p>
        </w:tc>
        <w:tc>
          <w:tcPr>
            <w:tcW w:w="7826" w:type="dxa"/>
          </w:tcPr>
          <w:p w14:paraId="0A6A1BA4" w14:textId="77777777" w:rsidR="00BB596B" w:rsidRPr="005560DB" w:rsidRDefault="00BB596B" w:rsidP="00822603">
            <w:pPr>
              <w:jc w:val="both"/>
              <w:rPr>
                <w:rStyle w:val="Hyperkobling"/>
                <w:rFonts w:ascii="Trebuchet MS" w:hAnsi="Trebuchet MS"/>
                <w:color w:val="auto"/>
                <w:sz w:val="22"/>
              </w:rPr>
            </w:pPr>
          </w:p>
        </w:tc>
      </w:tr>
      <w:tr w:rsidR="007A7D4E" w:rsidRPr="005560DB" w14:paraId="3DD50904" w14:textId="77777777" w:rsidTr="007A7D4E">
        <w:tc>
          <w:tcPr>
            <w:tcW w:w="1384" w:type="dxa"/>
            <w:vAlign w:val="center"/>
          </w:tcPr>
          <w:p w14:paraId="2A09E5AF" w14:textId="77777777" w:rsidR="00BB596B" w:rsidRPr="005560DB" w:rsidRDefault="00BB596B" w:rsidP="00822603">
            <w:pPr>
              <w:rPr>
                <w:rFonts w:ascii="Trebuchet MS" w:hAnsi="Trebuchet MS"/>
                <w:sz w:val="22"/>
              </w:rPr>
            </w:pPr>
            <w:r w:rsidRPr="005560DB">
              <w:rPr>
                <w:rFonts w:ascii="Trebuchet MS" w:hAnsi="Trebuchet MS"/>
                <w:sz w:val="22"/>
              </w:rPr>
              <w:t>Navn:</w:t>
            </w:r>
          </w:p>
          <w:p w14:paraId="58BD36BD" w14:textId="77777777" w:rsidR="00BB596B" w:rsidRPr="005560DB" w:rsidRDefault="00BB596B" w:rsidP="00822603">
            <w:pPr>
              <w:rPr>
                <w:rStyle w:val="Hyperkobling"/>
                <w:rFonts w:ascii="Trebuchet MS" w:hAnsi="Trebuchet MS"/>
                <w:color w:val="auto"/>
                <w:sz w:val="22"/>
              </w:rPr>
            </w:pPr>
          </w:p>
        </w:tc>
        <w:tc>
          <w:tcPr>
            <w:tcW w:w="7826" w:type="dxa"/>
          </w:tcPr>
          <w:p w14:paraId="6DE9CFC7" w14:textId="77777777" w:rsidR="00BB596B" w:rsidRPr="005560DB" w:rsidRDefault="00BB596B" w:rsidP="00822603">
            <w:pPr>
              <w:jc w:val="both"/>
              <w:rPr>
                <w:rStyle w:val="Hyperkobling"/>
                <w:rFonts w:ascii="Trebuchet MS" w:hAnsi="Trebuchet MS"/>
                <w:color w:val="auto"/>
                <w:sz w:val="22"/>
              </w:rPr>
            </w:pPr>
          </w:p>
        </w:tc>
      </w:tr>
      <w:tr w:rsidR="007A7D4E" w:rsidRPr="005560DB" w14:paraId="65F40F34" w14:textId="77777777" w:rsidTr="007A7D4E">
        <w:tc>
          <w:tcPr>
            <w:tcW w:w="1384" w:type="dxa"/>
            <w:vAlign w:val="center"/>
          </w:tcPr>
          <w:p w14:paraId="30C7C4E2" w14:textId="77777777" w:rsidR="00BB596B" w:rsidRPr="005560DB" w:rsidRDefault="00BB596B" w:rsidP="00822603">
            <w:pPr>
              <w:rPr>
                <w:rFonts w:ascii="Trebuchet MS" w:hAnsi="Trebuchet MS"/>
                <w:sz w:val="22"/>
              </w:rPr>
            </w:pPr>
            <w:r w:rsidRPr="005560DB">
              <w:rPr>
                <w:rFonts w:ascii="Trebuchet MS" w:hAnsi="Trebuchet MS"/>
                <w:sz w:val="22"/>
              </w:rPr>
              <w:t>Stilling:</w:t>
            </w:r>
          </w:p>
          <w:p w14:paraId="7AD8D130" w14:textId="77777777" w:rsidR="00BB596B" w:rsidRPr="005560DB" w:rsidRDefault="00BB596B" w:rsidP="00822603">
            <w:pPr>
              <w:rPr>
                <w:rStyle w:val="Hyperkobling"/>
                <w:rFonts w:ascii="Trebuchet MS" w:hAnsi="Trebuchet MS"/>
                <w:color w:val="auto"/>
                <w:sz w:val="22"/>
              </w:rPr>
            </w:pPr>
          </w:p>
        </w:tc>
        <w:tc>
          <w:tcPr>
            <w:tcW w:w="7826" w:type="dxa"/>
          </w:tcPr>
          <w:p w14:paraId="6ADE1C64" w14:textId="77777777" w:rsidR="00BB596B" w:rsidRPr="005560DB" w:rsidRDefault="00BB596B" w:rsidP="00822603">
            <w:pPr>
              <w:jc w:val="both"/>
              <w:rPr>
                <w:rStyle w:val="Hyperkobling"/>
                <w:rFonts w:ascii="Trebuchet MS" w:hAnsi="Trebuchet MS"/>
                <w:color w:val="auto"/>
                <w:sz w:val="22"/>
              </w:rPr>
            </w:pPr>
          </w:p>
        </w:tc>
      </w:tr>
      <w:tr w:rsidR="00BB596B" w:rsidRPr="005560DB" w14:paraId="70E81349" w14:textId="77777777" w:rsidTr="007A7D4E">
        <w:tc>
          <w:tcPr>
            <w:tcW w:w="1384" w:type="dxa"/>
            <w:vAlign w:val="center"/>
          </w:tcPr>
          <w:p w14:paraId="5EF826DD" w14:textId="77777777" w:rsidR="00BB596B" w:rsidRPr="005560DB" w:rsidRDefault="00BB596B" w:rsidP="00822603">
            <w:pPr>
              <w:rPr>
                <w:rFonts w:ascii="Trebuchet MS" w:hAnsi="Trebuchet MS"/>
                <w:sz w:val="22"/>
              </w:rPr>
            </w:pPr>
            <w:r w:rsidRPr="005560DB">
              <w:rPr>
                <w:rFonts w:ascii="Trebuchet MS" w:hAnsi="Trebuchet MS"/>
                <w:sz w:val="22"/>
              </w:rPr>
              <w:t>Signatur:</w:t>
            </w:r>
          </w:p>
          <w:p w14:paraId="70F7D87B" w14:textId="77777777" w:rsidR="00BB596B" w:rsidRPr="005560DB" w:rsidRDefault="00BB596B" w:rsidP="00822603">
            <w:pPr>
              <w:rPr>
                <w:rStyle w:val="Hyperkobling"/>
                <w:rFonts w:ascii="Trebuchet MS" w:hAnsi="Trebuchet MS"/>
                <w:color w:val="auto"/>
                <w:sz w:val="22"/>
              </w:rPr>
            </w:pPr>
          </w:p>
        </w:tc>
        <w:tc>
          <w:tcPr>
            <w:tcW w:w="7826" w:type="dxa"/>
          </w:tcPr>
          <w:p w14:paraId="6F38CB9C" w14:textId="77777777" w:rsidR="00BB596B" w:rsidRPr="005560DB" w:rsidRDefault="00BB596B" w:rsidP="00822603">
            <w:pPr>
              <w:jc w:val="both"/>
              <w:rPr>
                <w:rStyle w:val="Hyperkobling"/>
                <w:rFonts w:ascii="Trebuchet MS" w:hAnsi="Trebuchet MS"/>
                <w:color w:val="auto"/>
                <w:sz w:val="22"/>
              </w:rPr>
            </w:pPr>
          </w:p>
        </w:tc>
      </w:tr>
    </w:tbl>
    <w:p w14:paraId="1238BBDA" w14:textId="77777777" w:rsidR="00E4535E" w:rsidRPr="005560DB" w:rsidRDefault="00E4535E" w:rsidP="00822603">
      <w:pPr>
        <w:spacing w:after="0"/>
        <w:rPr>
          <w:rFonts w:ascii="Trebuchet MS" w:hAnsi="Trebuchet MS"/>
          <w:sz w:val="22"/>
        </w:rPr>
      </w:pPr>
    </w:p>
    <w:sectPr w:rsidR="00E4535E" w:rsidRPr="005560DB" w:rsidSect="00990736">
      <w:head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0551" w14:textId="77777777" w:rsidR="00822603" w:rsidRDefault="00822603" w:rsidP="00A5488D">
      <w:pPr>
        <w:spacing w:after="0"/>
      </w:pPr>
      <w:r>
        <w:separator/>
      </w:r>
    </w:p>
  </w:endnote>
  <w:endnote w:type="continuationSeparator" w:id="0">
    <w:p w14:paraId="4C45BF8B" w14:textId="77777777" w:rsidR="00822603" w:rsidRDefault="00822603"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A867" w14:textId="77777777" w:rsidR="00822603" w:rsidRDefault="00822603" w:rsidP="007A7D4E">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5EAC3947" w14:textId="77777777" w:rsidR="00822603" w:rsidRDefault="00447A04" w:rsidP="007A7D4E">
    <w:pPr>
      <w:rPr>
        <w:color w:val="FFFFFF" w:themeColor="background1" w:themeTint="A6"/>
        <w:szCs w:val="24"/>
      </w:rPr>
    </w:pPr>
    <w:r>
      <w:rPr>
        <w:color w:val="FFFFFF" w:themeColor="background1" w:themeTint="A6"/>
        <w:szCs w:val="24"/>
      </w:rPr>
      <w:pict w14:anchorId="0B98050C">
        <v:rect id="_x0000_i1025" style="width:453.6pt;height:1pt" o:hralign="center" o:hrstd="t" o:hr="t" fillcolor="#a0a0a0" stroked="f"/>
      </w:pict>
    </w:r>
  </w:p>
  <w:p w14:paraId="101E4C09" w14:textId="77777777" w:rsidR="00822603" w:rsidRPr="00226790" w:rsidRDefault="00822603" w:rsidP="007A7D4E">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7557B6AE" w14:textId="77777777" w:rsidR="00822603" w:rsidRPr="00E732EA" w:rsidRDefault="00822603" w:rsidP="007A7D4E">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5611" w14:textId="77777777" w:rsidR="00822603" w:rsidRDefault="00822603" w:rsidP="00A5488D">
      <w:pPr>
        <w:spacing w:after="0"/>
      </w:pPr>
      <w:r>
        <w:separator/>
      </w:r>
    </w:p>
  </w:footnote>
  <w:footnote w:type="continuationSeparator" w:id="0">
    <w:p w14:paraId="36AED8AD" w14:textId="77777777" w:rsidR="00822603" w:rsidRDefault="00822603" w:rsidP="00A548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4999" w14:textId="77777777" w:rsidR="00822603" w:rsidRDefault="00822603">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6B39A3">
          <w:rPr>
            <w:noProof/>
          </w:rPr>
          <w:t>3</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637"/>
    <w:multiLevelType w:val="hybridMultilevel"/>
    <w:tmpl w:val="4D484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336593"/>
    <w:multiLevelType w:val="hybridMultilevel"/>
    <w:tmpl w:val="B32AC75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711A1D"/>
    <w:multiLevelType w:val="hybridMultilevel"/>
    <w:tmpl w:val="1C180D48"/>
    <w:lvl w:ilvl="0" w:tplc="0414000F">
      <w:start w:val="1"/>
      <w:numFmt w:val="decimal"/>
      <w:lvlText w:val="%1."/>
      <w:lvlJc w:val="left"/>
      <w:pPr>
        <w:ind w:left="708" w:hanging="360"/>
      </w:pPr>
    </w:lvl>
    <w:lvl w:ilvl="1" w:tplc="04140019" w:tentative="1">
      <w:start w:val="1"/>
      <w:numFmt w:val="lowerLetter"/>
      <w:lvlText w:val="%2."/>
      <w:lvlJc w:val="left"/>
      <w:pPr>
        <w:ind w:left="1428" w:hanging="360"/>
      </w:pPr>
    </w:lvl>
    <w:lvl w:ilvl="2" w:tplc="0414001B" w:tentative="1">
      <w:start w:val="1"/>
      <w:numFmt w:val="lowerRoman"/>
      <w:lvlText w:val="%3."/>
      <w:lvlJc w:val="right"/>
      <w:pPr>
        <w:ind w:left="2148" w:hanging="180"/>
      </w:pPr>
    </w:lvl>
    <w:lvl w:ilvl="3" w:tplc="0414000F" w:tentative="1">
      <w:start w:val="1"/>
      <w:numFmt w:val="decimal"/>
      <w:lvlText w:val="%4."/>
      <w:lvlJc w:val="left"/>
      <w:pPr>
        <w:ind w:left="2868" w:hanging="360"/>
      </w:pPr>
    </w:lvl>
    <w:lvl w:ilvl="4" w:tplc="04140019" w:tentative="1">
      <w:start w:val="1"/>
      <w:numFmt w:val="lowerLetter"/>
      <w:lvlText w:val="%5."/>
      <w:lvlJc w:val="left"/>
      <w:pPr>
        <w:ind w:left="3588" w:hanging="360"/>
      </w:pPr>
    </w:lvl>
    <w:lvl w:ilvl="5" w:tplc="0414001B" w:tentative="1">
      <w:start w:val="1"/>
      <w:numFmt w:val="lowerRoman"/>
      <w:lvlText w:val="%6."/>
      <w:lvlJc w:val="right"/>
      <w:pPr>
        <w:ind w:left="4308" w:hanging="180"/>
      </w:pPr>
    </w:lvl>
    <w:lvl w:ilvl="6" w:tplc="0414000F" w:tentative="1">
      <w:start w:val="1"/>
      <w:numFmt w:val="decimal"/>
      <w:lvlText w:val="%7."/>
      <w:lvlJc w:val="left"/>
      <w:pPr>
        <w:ind w:left="5028" w:hanging="360"/>
      </w:pPr>
    </w:lvl>
    <w:lvl w:ilvl="7" w:tplc="04140019" w:tentative="1">
      <w:start w:val="1"/>
      <w:numFmt w:val="lowerLetter"/>
      <w:lvlText w:val="%8."/>
      <w:lvlJc w:val="left"/>
      <w:pPr>
        <w:ind w:left="5748" w:hanging="360"/>
      </w:pPr>
    </w:lvl>
    <w:lvl w:ilvl="8" w:tplc="0414001B" w:tentative="1">
      <w:start w:val="1"/>
      <w:numFmt w:val="lowerRoman"/>
      <w:lvlText w:val="%9."/>
      <w:lvlJc w:val="right"/>
      <w:pPr>
        <w:ind w:left="6468" w:hanging="180"/>
      </w:pPr>
    </w:lvl>
  </w:abstractNum>
  <w:abstractNum w:abstractNumId="4" w15:restartNumberingAfterBreak="0">
    <w:nsid w:val="5EAB174C"/>
    <w:multiLevelType w:val="hybridMultilevel"/>
    <w:tmpl w:val="C3DEAFAE"/>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64141B09"/>
    <w:multiLevelType w:val="hybridMultilevel"/>
    <w:tmpl w:val="A59E456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208D1"/>
    <w:rsid w:val="00281384"/>
    <w:rsid w:val="002A3898"/>
    <w:rsid w:val="002C70F2"/>
    <w:rsid w:val="002C7D7E"/>
    <w:rsid w:val="002D281B"/>
    <w:rsid w:val="002E0982"/>
    <w:rsid w:val="002E7E74"/>
    <w:rsid w:val="00313882"/>
    <w:rsid w:val="00317F12"/>
    <w:rsid w:val="00336408"/>
    <w:rsid w:val="00337056"/>
    <w:rsid w:val="00351542"/>
    <w:rsid w:val="0037247A"/>
    <w:rsid w:val="00385BB9"/>
    <w:rsid w:val="00394FED"/>
    <w:rsid w:val="003C1E53"/>
    <w:rsid w:val="003D47F6"/>
    <w:rsid w:val="00436985"/>
    <w:rsid w:val="004417C1"/>
    <w:rsid w:val="00447A04"/>
    <w:rsid w:val="004712BD"/>
    <w:rsid w:val="00477E37"/>
    <w:rsid w:val="004D0E56"/>
    <w:rsid w:val="004E681D"/>
    <w:rsid w:val="004E79CA"/>
    <w:rsid w:val="004F41A2"/>
    <w:rsid w:val="0053238C"/>
    <w:rsid w:val="005348F8"/>
    <w:rsid w:val="005560DB"/>
    <w:rsid w:val="005D1B1E"/>
    <w:rsid w:val="006A05FA"/>
    <w:rsid w:val="006B39A3"/>
    <w:rsid w:val="00704800"/>
    <w:rsid w:val="00753AAA"/>
    <w:rsid w:val="00767583"/>
    <w:rsid w:val="007A7D4E"/>
    <w:rsid w:val="007C09A5"/>
    <w:rsid w:val="007C1D59"/>
    <w:rsid w:val="007C74BE"/>
    <w:rsid w:val="00822603"/>
    <w:rsid w:val="00855B7F"/>
    <w:rsid w:val="008565E7"/>
    <w:rsid w:val="008617E3"/>
    <w:rsid w:val="0090703C"/>
    <w:rsid w:val="00907514"/>
    <w:rsid w:val="009334EA"/>
    <w:rsid w:val="009413B4"/>
    <w:rsid w:val="00990736"/>
    <w:rsid w:val="0099524E"/>
    <w:rsid w:val="00A441A0"/>
    <w:rsid w:val="00A5488D"/>
    <w:rsid w:val="00A670E2"/>
    <w:rsid w:val="00A74E8D"/>
    <w:rsid w:val="00A82680"/>
    <w:rsid w:val="00AB16E7"/>
    <w:rsid w:val="00AE5EE0"/>
    <w:rsid w:val="00B12765"/>
    <w:rsid w:val="00B23EB6"/>
    <w:rsid w:val="00B43EC1"/>
    <w:rsid w:val="00B731B9"/>
    <w:rsid w:val="00BA441C"/>
    <w:rsid w:val="00BB596B"/>
    <w:rsid w:val="00BE3189"/>
    <w:rsid w:val="00BF0955"/>
    <w:rsid w:val="00C25AE3"/>
    <w:rsid w:val="00C74FD9"/>
    <w:rsid w:val="00CA330C"/>
    <w:rsid w:val="00CA4DA6"/>
    <w:rsid w:val="00CF105F"/>
    <w:rsid w:val="00D369AF"/>
    <w:rsid w:val="00D45122"/>
    <w:rsid w:val="00D819C5"/>
    <w:rsid w:val="00D94E43"/>
    <w:rsid w:val="00DA22DB"/>
    <w:rsid w:val="00DA5FBE"/>
    <w:rsid w:val="00DC7A17"/>
    <w:rsid w:val="00E20302"/>
    <w:rsid w:val="00E239CF"/>
    <w:rsid w:val="00E419D9"/>
    <w:rsid w:val="00E4535E"/>
    <w:rsid w:val="00E47C89"/>
    <w:rsid w:val="00E6699C"/>
    <w:rsid w:val="00EB34B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A93CE2B"/>
  <w15:docId w15:val="{F48F211A-4554-4121-875E-290B5EE1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6B39A3"/>
    <w:pPr>
      <w:numPr>
        <w:ilvl w:val="1"/>
      </w:numPr>
      <w:spacing w:after="0"/>
    </w:pPr>
    <w:rPr>
      <w:rFonts w:ascii="Trebuchet MS" w:eastAsiaTheme="majorEastAsia" w:hAnsi="Trebuchet MS" w:cstheme="majorBidi"/>
      <w:b/>
      <w:spacing w:val="15"/>
      <w:szCs w:val="24"/>
    </w:rPr>
  </w:style>
  <w:style w:type="character" w:customStyle="1" w:styleId="Alt0Tegn">
    <w:name w:val="Alt0 Tegn"/>
    <w:basedOn w:val="Standardskriftforavsnitt"/>
    <w:link w:val="Alt0"/>
    <w:rsid w:val="006B39A3"/>
    <w:rPr>
      <w:rFonts w:ascii="Trebuchet MS" w:eastAsiaTheme="majorEastAsia" w:hAnsi="Trebuchet MS" w:cstheme="majorBidi"/>
      <w:b/>
      <w:spacing w:val="15"/>
      <w:sz w:val="24"/>
      <w:szCs w:val="24"/>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6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jeringen.no/no/tema/naringsliv/konkurransepolitikk/regler-om-offentlig-stotte-listeside/offentlig-stotte-gruppeunntak/id43013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220D-E046-4ED4-84D0-7C709A28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5836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Abel Cecilie Knibe Kroglund</cp:lastModifiedBy>
  <cp:revision>2</cp:revision>
  <cp:lastPrinted>2016-02-22T16:35:00Z</cp:lastPrinted>
  <dcterms:created xsi:type="dcterms:W3CDTF">2020-09-28T07:32:00Z</dcterms:created>
  <dcterms:modified xsi:type="dcterms:W3CDTF">2020-09-28T07:32:00Z</dcterms:modified>
</cp:coreProperties>
</file>